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C8D4" w14:textId="77777777" w:rsidR="00A026AF" w:rsidRDefault="00A026AF" w:rsidP="00961F1C">
      <w:pPr>
        <w:pStyle w:val="Headinglevelone"/>
        <w:rPr>
          <w:lang w:val="en-GB"/>
        </w:rPr>
      </w:pPr>
    </w:p>
    <w:p w14:paraId="51D005B5" w14:textId="77777777" w:rsidR="00350135" w:rsidRDefault="00350135" w:rsidP="00F07EE6">
      <w:pPr>
        <w:pStyle w:val="Headinglevelone"/>
        <w:rPr>
          <w:rFonts w:ascii="Calibri" w:hAnsi="Calibri"/>
          <w:bCs/>
          <w:color w:val="70AD47" w:themeColor="accent6"/>
          <w:sz w:val="32"/>
          <w:szCs w:val="28"/>
        </w:rPr>
      </w:pPr>
    </w:p>
    <w:p w14:paraId="44D69B04" w14:textId="5E392868" w:rsidR="00487C30" w:rsidRPr="00350135" w:rsidRDefault="00350135" w:rsidP="00D925E3">
      <w:pPr>
        <w:pStyle w:val="Headinglevelone"/>
        <w:jc w:val="center"/>
        <w:rPr>
          <w:color w:val="70AD47" w:themeColor="accent6"/>
          <w:lang w:val="en-GB"/>
        </w:rPr>
      </w:pPr>
      <w:r w:rsidRPr="00350135">
        <w:rPr>
          <w:rFonts w:ascii="Calibri" w:hAnsi="Calibri"/>
          <w:bCs/>
          <w:color w:val="70AD47" w:themeColor="accent6"/>
          <w:sz w:val="32"/>
          <w:szCs w:val="28"/>
        </w:rPr>
        <w:t>S</w:t>
      </w:r>
      <w:r>
        <w:rPr>
          <w:rFonts w:ascii="Calibri" w:hAnsi="Calibri"/>
          <w:bCs/>
          <w:color w:val="70AD47" w:themeColor="accent6"/>
          <w:sz w:val="32"/>
          <w:szCs w:val="28"/>
        </w:rPr>
        <w:t>US</w:t>
      </w:r>
      <w:r w:rsidRPr="00350135">
        <w:rPr>
          <w:rFonts w:ascii="Calibri" w:hAnsi="Calibri"/>
          <w:bCs/>
          <w:color w:val="70AD47" w:themeColor="accent6"/>
          <w:sz w:val="32"/>
          <w:szCs w:val="28"/>
        </w:rPr>
        <w:t>QI PROJECT REPORT TEMPLATE</w:t>
      </w:r>
    </w:p>
    <w:p w14:paraId="37A0810F" w14:textId="77777777" w:rsidR="00141D5F" w:rsidRPr="005A15B2" w:rsidRDefault="00141D5F" w:rsidP="00487C30">
      <w:pPr>
        <w:pStyle w:val="Headinglevelone"/>
        <w:rPr>
          <w:rStyle w:val="Hyperlink"/>
          <w:color w:val="00B0F0"/>
          <w:sz w:val="24"/>
          <w:szCs w:val="24"/>
          <w:u w:val="none"/>
          <w:lang w:val="en-GB"/>
        </w:rPr>
      </w:pPr>
    </w:p>
    <w:p w14:paraId="39579D29" w14:textId="21C0E290" w:rsidR="00141D5F" w:rsidRPr="00F92AD7" w:rsidRDefault="00141D5F" w:rsidP="00D925E3">
      <w:pPr>
        <w:pStyle w:val="Headinglevelone"/>
        <w:jc w:val="both"/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</w:pPr>
      <w:r w:rsidRPr="005A15B2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This project report template should be used to report projects which have followed the 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Sustainable Quality Improvement ‘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SusQI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’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process. If your sustainable healthcare project does not </w:t>
      </w:r>
      <w:r w:rsidR="0067074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apply</w:t>
      </w:r>
      <w:r w:rsidR="0028303A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</w:t>
      </w:r>
      <w:r w:rsidR="003200A7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Sus</w:t>
      </w:r>
      <w:r w:rsidR="0028303A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QI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methodology, please use our </w:t>
      </w:r>
      <w:r w:rsidR="0067074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Case Study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template instead (</w:t>
      </w:r>
      <w:r w:rsidR="0067074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LINK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) </w:t>
      </w:r>
    </w:p>
    <w:p w14:paraId="6AAA8195" w14:textId="3034047B" w:rsidR="00141D5F" w:rsidRPr="00F92AD7" w:rsidRDefault="00141D5F" w:rsidP="00487C30">
      <w:pPr>
        <w:pStyle w:val="Headinglevelone"/>
        <w:rPr>
          <w:rStyle w:val="Hyperlink"/>
          <w:rFonts w:cstheme="majorHAnsi"/>
          <w:color w:val="00B0F0"/>
          <w:sz w:val="24"/>
          <w:szCs w:val="24"/>
          <w:u w:val="none"/>
          <w:lang w:val="en-GB"/>
        </w:rPr>
      </w:pPr>
    </w:p>
    <w:p w14:paraId="569CBC39" w14:textId="6126B1A1" w:rsidR="00285D01" w:rsidRPr="00F92AD7" w:rsidRDefault="00D925E3" w:rsidP="00487C30">
      <w:pPr>
        <w:pStyle w:val="Headinglevelone"/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</w:pPr>
      <w:bookmarkStart w:id="0" w:name="_Hlk112837070"/>
      <w:bookmarkStart w:id="1" w:name="_Hlk112837054"/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T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his t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emplate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is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</w:t>
      </w:r>
      <w:bookmarkEnd w:id="0"/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a</w:t>
      </w:r>
      <w:r w:rsidR="00285D01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dapted from </w:t>
      </w:r>
      <w:hyperlink r:id="rId8" w:history="1">
        <w:r w:rsidR="00285D01" w:rsidRPr="000679DC">
          <w:rPr>
            <w:rStyle w:val="Hyperlink"/>
            <w:rFonts w:cstheme="majorHAnsi"/>
            <w:b w:val="0"/>
            <w:bCs/>
            <w:color w:val="4472C4" w:themeColor="accent1"/>
            <w:sz w:val="24"/>
            <w:szCs w:val="24"/>
            <w:lang w:val="en-GB"/>
          </w:rPr>
          <w:t>SQUIRE 2.0</w:t>
        </w:r>
      </w:hyperlink>
      <w:r w:rsidR="00285D01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reporting guidelines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.</w:t>
      </w:r>
      <w:r w:rsidR="00285D01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</w:t>
      </w:r>
    </w:p>
    <w:bookmarkEnd w:id="1"/>
    <w:p w14:paraId="23C880E4" w14:textId="77777777" w:rsidR="00F92AD7" w:rsidRPr="00F92AD7" w:rsidRDefault="00F92AD7" w:rsidP="005A15B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</w:rPr>
      </w:pPr>
    </w:p>
    <w:p w14:paraId="69F92001" w14:textId="154DB975" w:rsidR="005A15B2" w:rsidRDefault="005A15B2" w:rsidP="005A15B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eastAsiaTheme="minorHAnsi" w:hAnsiTheme="majorHAnsi" w:cstheme="majorHAnsi"/>
          <w:b/>
          <w:i/>
          <w:color w:val="00B0F0"/>
          <w:sz w:val="24"/>
          <w:u w:val="single"/>
          <w:lang w:val="en-GB"/>
        </w:rPr>
      </w:pPr>
    </w:p>
    <w:p w14:paraId="61D070FA" w14:textId="77777777" w:rsidR="005A15B2" w:rsidRPr="005A15B2" w:rsidRDefault="005A15B2" w:rsidP="005A15B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eastAsiaTheme="minorHAnsi" w:hAnsiTheme="majorHAnsi" w:cstheme="majorHAnsi"/>
          <w:b/>
          <w:i/>
          <w:color w:val="00B0F0"/>
          <w:sz w:val="24"/>
          <w:u w:val="single"/>
          <w:lang w:val="en-GB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769"/>
        <w:gridCol w:w="3247"/>
      </w:tblGrid>
      <w:tr w:rsidR="005E5F23" w:rsidRPr="000A2439" w14:paraId="6ADD4B28" w14:textId="77777777" w:rsidTr="00D92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</w:tcPr>
          <w:p w14:paraId="6D9F0D77" w14:textId="5294D898" w:rsidR="005E5F23" w:rsidRDefault="00961F1C" w:rsidP="00CD14D8">
            <w:pPr>
              <w:pStyle w:val="Headingleveltwo"/>
              <w:rPr>
                <w:color w:val="7EB651"/>
              </w:rPr>
            </w:pPr>
            <w:r w:rsidRPr="00F01C5D">
              <w:rPr>
                <w:color w:val="7EB651"/>
              </w:rPr>
              <w:t>Project Title</w:t>
            </w:r>
            <w:r w:rsidR="005E5F23" w:rsidRPr="00F01C5D">
              <w:rPr>
                <w:color w:val="7EB651"/>
              </w:rPr>
              <w:t xml:space="preserve">: </w:t>
            </w:r>
          </w:p>
          <w:p w14:paraId="33463096" w14:textId="77777777" w:rsidR="00E33F1B" w:rsidRDefault="00E33F1B" w:rsidP="00D925E3"/>
          <w:p w14:paraId="36CCD88D" w14:textId="3F16ED6C" w:rsidR="00F01C5D" w:rsidRPr="00F01C5D" w:rsidRDefault="00F01C5D" w:rsidP="00F01C5D">
            <w:pPr>
              <w:pStyle w:val="Body"/>
            </w:pPr>
          </w:p>
        </w:tc>
        <w:tc>
          <w:tcPr>
            <w:tcW w:w="3247" w:type="dxa"/>
            <w:vMerge w:val="restart"/>
          </w:tcPr>
          <w:p w14:paraId="7F4E3CFF" w14:textId="3DA0A026" w:rsidR="00F07EE6" w:rsidRPr="00F07EE6" w:rsidRDefault="00F07EE6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</w:rPr>
            </w:pPr>
            <w:r w:rsidRPr="00F07EE6">
              <w:rPr>
                <w:color w:val="70AD47" w:themeColor="accent6"/>
              </w:rPr>
              <w:t>Start/End date of</w:t>
            </w:r>
            <w:r w:rsidR="005E5F23" w:rsidRPr="00F07EE6">
              <w:rPr>
                <w:color w:val="70AD47" w:themeColor="accent6"/>
              </w:rPr>
              <w:t xml:space="preserve"> </w:t>
            </w:r>
            <w:r w:rsidR="00A80559" w:rsidRPr="00F07EE6">
              <w:rPr>
                <w:color w:val="70AD47" w:themeColor="accent6"/>
              </w:rPr>
              <w:t>Project</w:t>
            </w:r>
            <w:r w:rsidRPr="00F07EE6">
              <w:rPr>
                <w:color w:val="70AD47" w:themeColor="accent6"/>
              </w:rPr>
              <w:t>:</w:t>
            </w:r>
            <w:r w:rsidR="00A80559" w:rsidRPr="00F07EE6">
              <w:rPr>
                <w:color w:val="70AD47" w:themeColor="accent6"/>
              </w:rPr>
              <w:t xml:space="preserve"> </w:t>
            </w:r>
          </w:p>
          <w:p w14:paraId="122B7C5B" w14:textId="77777777" w:rsidR="00F07EE6" w:rsidRPr="00F07EE6" w:rsidRDefault="00F07EE6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</w:rPr>
            </w:pPr>
          </w:p>
          <w:p w14:paraId="022A53C1" w14:textId="420D3D33" w:rsidR="005E5F23" w:rsidRPr="00F07EE6" w:rsidRDefault="00F07EE6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F07EE6">
              <w:rPr>
                <w:color w:val="70AD47" w:themeColor="accent6"/>
              </w:rPr>
              <w:t>Date of</w:t>
            </w:r>
            <w:r w:rsidR="00A80559" w:rsidRPr="00F07EE6">
              <w:rPr>
                <w:color w:val="70AD47" w:themeColor="accent6"/>
              </w:rPr>
              <w:t xml:space="preserve"> </w:t>
            </w:r>
            <w:r w:rsidR="005E5F23" w:rsidRPr="00F07EE6">
              <w:rPr>
                <w:color w:val="70AD47" w:themeColor="accent6"/>
              </w:rPr>
              <w:t>Report:</w:t>
            </w:r>
          </w:p>
          <w:p w14:paraId="2CDBC8EA" w14:textId="154850A4" w:rsidR="008D1A3F" w:rsidRPr="00F01C5D" w:rsidRDefault="008D1A3F" w:rsidP="00D92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EE1B51" w14:textId="77777777" w:rsidR="00146E79" w:rsidRPr="008D1A3F" w:rsidRDefault="00146E79" w:rsidP="00D92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C6BB7" w14:textId="496D2A9C" w:rsidR="008D1A3F" w:rsidRPr="00C20FF6" w:rsidRDefault="008D1A3F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5F23" w:rsidRPr="000A2439" w14:paraId="5E120936" w14:textId="77777777" w:rsidTr="0045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</w:tcPr>
          <w:p w14:paraId="77DC24DF" w14:textId="71D7A1D2" w:rsidR="00146E79" w:rsidRPr="00453319" w:rsidRDefault="005E5F23" w:rsidP="00453319">
            <w:pPr>
              <w:pStyle w:val="Headingleveltwo"/>
              <w:rPr>
                <w:color w:val="7EB651"/>
              </w:rPr>
            </w:pPr>
            <w:bookmarkStart w:id="2" w:name="_Hlk112837907"/>
            <w:bookmarkStart w:id="3" w:name="_Hlk112839926"/>
            <w:r w:rsidRPr="00F01C5D">
              <w:rPr>
                <w:color w:val="7EB651"/>
              </w:rPr>
              <w:t>Team</w:t>
            </w:r>
            <w:r w:rsidR="00143A4E" w:rsidRPr="00F01C5D">
              <w:rPr>
                <w:color w:val="7EB651"/>
              </w:rPr>
              <w:t xml:space="preserve"> Members</w:t>
            </w:r>
            <w:bookmarkEnd w:id="2"/>
            <w:r w:rsidRPr="00F01C5D">
              <w:rPr>
                <w:color w:val="7EB651"/>
              </w:rPr>
              <w:t xml:space="preserve">: </w:t>
            </w:r>
          </w:p>
        </w:tc>
        <w:tc>
          <w:tcPr>
            <w:tcW w:w="3247" w:type="dxa"/>
            <w:vMerge/>
          </w:tcPr>
          <w:p w14:paraId="537F84AF" w14:textId="77777777" w:rsidR="005E5F23" w:rsidRDefault="005E5F23" w:rsidP="00C20FF6">
            <w:pPr>
              <w:pStyle w:val="Headingleveltw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5F23" w:rsidRPr="000A2439" w14:paraId="4CB40DEE" w14:textId="77777777" w:rsidTr="00E67D57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086C158" w14:textId="10C871CA" w:rsidR="00146E79" w:rsidRDefault="00146E79" w:rsidP="00C20FF6">
            <w:pPr>
              <w:pStyle w:val="Headingleveltwo"/>
            </w:pPr>
          </w:p>
        </w:tc>
      </w:tr>
      <w:tr w:rsidR="000A2439" w:rsidRPr="000A2439" w14:paraId="7D19471D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6992B27" w14:textId="626AA263" w:rsidR="000A2439" w:rsidRPr="000A2439" w:rsidRDefault="000A2439" w:rsidP="000A2439">
            <w:pPr>
              <w:pStyle w:val="Headingleveltwo"/>
              <w:rPr>
                <w:rFonts w:cstheme="minorHAnsi"/>
                <w:b w:val="0"/>
              </w:rPr>
            </w:pPr>
            <w:bookmarkStart w:id="4" w:name="_Hlk112838041"/>
            <w:r w:rsidRPr="00F01C5D">
              <w:rPr>
                <w:color w:val="7EB651"/>
              </w:rPr>
              <w:t>Background</w:t>
            </w:r>
            <w:bookmarkEnd w:id="4"/>
            <w:r w:rsidR="00802D5B">
              <w:rPr>
                <w:color w:val="7EB651"/>
              </w:rPr>
              <w:t>:</w:t>
            </w:r>
          </w:p>
        </w:tc>
      </w:tr>
      <w:tr w:rsidR="000A2439" w:rsidRPr="000A2439" w14:paraId="64F339B6" w14:textId="77777777" w:rsidTr="00D925E3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563131C" w14:textId="77777777" w:rsidR="000A2439" w:rsidRDefault="000A2439" w:rsidP="00CD14D8">
            <w:pPr>
              <w:rPr>
                <w:rFonts w:cstheme="minorHAnsi"/>
              </w:rPr>
            </w:pPr>
          </w:p>
          <w:p w14:paraId="04E0F783" w14:textId="1DA6AAEB" w:rsidR="00143A4E" w:rsidRDefault="00143A4E" w:rsidP="00CD14D8">
            <w:pPr>
              <w:rPr>
                <w:rFonts w:cstheme="minorHAnsi"/>
              </w:rPr>
            </w:pPr>
          </w:p>
          <w:p w14:paraId="45840401" w14:textId="77777777" w:rsidR="00143A4E" w:rsidRDefault="00143A4E" w:rsidP="00CD14D8">
            <w:pPr>
              <w:rPr>
                <w:rFonts w:cstheme="minorHAnsi"/>
              </w:rPr>
            </w:pPr>
          </w:p>
          <w:p w14:paraId="355A5171" w14:textId="26F6F7F9" w:rsidR="00143A4E" w:rsidRPr="00CD14D8" w:rsidRDefault="00143A4E" w:rsidP="00CD14D8">
            <w:pPr>
              <w:rPr>
                <w:rFonts w:cstheme="minorHAnsi"/>
              </w:rPr>
            </w:pPr>
          </w:p>
        </w:tc>
      </w:tr>
      <w:tr w:rsidR="000A2439" w:rsidRPr="000A2439" w14:paraId="48B64950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1F9D6E7" w14:textId="3AAEACC4" w:rsidR="00487C30" w:rsidRPr="00487C30" w:rsidRDefault="00961F1C" w:rsidP="00961F1C">
            <w:pPr>
              <w:pStyle w:val="Headingleveltw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C5D">
              <w:rPr>
                <w:rFonts w:cstheme="minorHAnsi"/>
                <w:color w:val="7EB651"/>
              </w:rPr>
              <w:t>Specific Aims</w:t>
            </w:r>
            <w:r w:rsidR="00802D5B">
              <w:rPr>
                <w:color w:val="7EB651"/>
              </w:rPr>
              <w:t>:</w:t>
            </w:r>
          </w:p>
        </w:tc>
      </w:tr>
      <w:tr w:rsidR="000A2439" w:rsidRPr="000A2439" w14:paraId="5F6F9D4F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F4A6DCC" w14:textId="77777777" w:rsidR="00961F1C" w:rsidRDefault="00961F1C" w:rsidP="00D925E3">
            <w:bookmarkStart w:id="5" w:name="_Hlk112840038"/>
          </w:p>
          <w:p w14:paraId="17ED2E52" w14:textId="77777777" w:rsidR="00143A4E" w:rsidRDefault="00143A4E" w:rsidP="00E33F1B"/>
          <w:p w14:paraId="634BF6CF" w14:textId="77777777" w:rsidR="00E33F1B" w:rsidRDefault="00E33F1B" w:rsidP="00E33F1B"/>
          <w:p w14:paraId="461CF1A8" w14:textId="0116D091" w:rsidR="00E33F1B" w:rsidRPr="00CD14D8" w:rsidRDefault="00E33F1B" w:rsidP="00D925E3"/>
        </w:tc>
      </w:tr>
      <w:bookmarkEnd w:id="3"/>
      <w:tr w:rsidR="000A2439" w:rsidRPr="000A2439" w14:paraId="19A46831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7F2D363" w14:textId="54F5527F" w:rsidR="00487C30" w:rsidRPr="00487C30" w:rsidRDefault="000A2439" w:rsidP="00487C30">
            <w:pPr>
              <w:pStyle w:val="Headingleveltw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C5D">
              <w:rPr>
                <w:rFonts w:cstheme="minorHAnsi"/>
                <w:color w:val="7EB651"/>
              </w:rPr>
              <w:t>Methods</w:t>
            </w:r>
            <w:r w:rsidR="00802D5B">
              <w:rPr>
                <w:rFonts w:cstheme="minorHAnsi"/>
                <w:color w:val="7EB651"/>
              </w:rPr>
              <w:t>:</w:t>
            </w:r>
          </w:p>
        </w:tc>
      </w:tr>
      <w:tr w:rsidR="000A2439" w:rsidRPr="000A2439" w14:paraId="68F5C58C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51127C1" w14:textId="1E2EDDEC" w:rsidR="009C7636" w:rsidRDefault="009C7636"/>
          <w:p w14:paraId="0704732A" w14:textId="77777777" w:rsidR="009C7636" w:rsidRDefault="009C7636"/>
          <w:p w14:paraId="784FB092" w14:textId="7F595977" w:rsidR="00961F1C" w:rsidRDefault="00961F1C">
            <w:pPr>
              <w:rPr>
                <w:b w:val="0"/>
                <w:bCs w:val="0"/>
              </w:rPr>
            </w:pPr>
          </w:p>
          <w:p w14:paraId="74F90C68" w14:textId="77777777" w:rsidR="000679DC" w:rsidRDefault="000679DC"/>
          <w:p w14:paraId="4C5D6EA3" w14:textId="77777777" w:rsidR="00143A4E" w:rsidRDefault="00143A4E" w:rsidP="00CD14D8">
            <w:pPr>
              <w:rPr>
                <w:b w:val="0"/>
                <w:bCs w:val="0"/>
              </w:rPr>
            </w:pPr>
          </w:p>
          <w:p w14:paraId="039ADDE8" w14:textId="77777777" w:rsidR="00C013A2" w:rsidRDefault="00C013A2" w:rsidP="00C013A2">
            <w:pPr>
              <w:rPr>
                <w:b w:val="0"/>
                <w:bCs w:val="0"/>
              </w:rPr>
            </w:pPr>
          </w:p>
          <w:p w14:paraId="00160CCD" w14:textId="673FBA63" w:rsidR="00C013A2" w:rsidRPr="00C013A2" w:rsidRDefault="00C013A2" w:rsidP="00C013A2">
            <w:pPr>
              <w:tabs>
                <w:tab w:val="left" w:pos="1999"/>
              </w:tabs>
            </w:pPr>
            <w:r>
              <w:tab/>
            </w:r>
          </w:p>
        </w:tc>
      </w:tr>
      <w:tr w:rsidR="000A2439" w:rsidRPr="000A2439" w14:paraId="30FA1D52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7ECC2CD" w14:textId="00B7324A" w:rsidR="003739C3" w:rsidRPr="009C7636" w:rsidRDefault="00C20FF6" w:rsidP="00802D5B">
            <w:pPr>
              <w:pStyle w:val="Headingleveltw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C5D">
              <w:rPr>
                <w:rFonts w:cstheme="minorHAnsi"/>
                <w:color w:val="7EB651"/>
              </w:rPr>
              <w:lastRenderedPageBreak/>
              <w:t>Measurement</w:t>
            </w:r>
            <w:r w:rsidR="00802D5B">
              <w:rPr>
                <w:rFonts w:cstheme="minorHAnsi"/>
                <w:color w:val="7EB651"/>
              </w:rPr>
              <w:t>:</w:t>
            </w:r>
          </w:p>
        </w:tc>
      </w:tr>
      <w:tr w:rsidR="00F07EE6" w:rsidRPr="00B22414" w14:paraId="712A35CD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72A80F0" w14:textId="77777777" w:rsidR="00F07EE6" w:rsidRPr="00DA35B1" w:rsidRDefault="00F07EE6" w:rsidP="00F07EE6">
            <w:pPr>
              <w:rPr>
                <w:rFonts w:cstheme="majorHAnsi"/>
                <w:b w:val="0"/>
              </w:rPr>
            </w:pPr>
            <w:r>
              <w:rPr>
                <w:rFonts w:cstheme="majorHAnsi"/>
                <w:i/>
                <w:iCs/>
              </w:rPr>
              <w:t>Patient</w:t>
            </w:r>
            <w:r w:rsidRPr="009C7636">
              <w:rPr>
                <w:rFonts w:cstheme="majorHAnsi"/>
                <w:i/>
                <w:iCs/>
              </w:rPr>
              <w:t xml:space="preserve"> outcomes</w:t>
            </w:r>
            <w:r>
              <w:rPr>
                <w:rFonts w:cstheme="majorHAnsi"/>
                <w:i/>
                <w:iCs/>
              </w:rPr>
              <w:t>:</w:t>
            </w:r>
          </w:p>
          <w:p w14:paraId="0A68CA6C" w14:textId="74483C83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3C8BAB37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4A17FA2" w14:textId="2BAA4568" w:rsidR="00F07EE6" w:rsidRPr="00F07EE6" w:rsidRDefault="00F07EE6" w:rsidP="00F07EE6">
            <w:pPr>
              <w:rPr>
                <w:rFonts w:cstheme="majorHAnsi"/>
                <w:i/>
                <w:iCs/>
              </w:rPr>
            </w:pPr>
            <w:r w:rsidRPr="00E33F1B">
              <w:rPr>
                <w:rFonts w:cstheme="majorHAnsi"/>
                <w:i/>
                <w:iCs/>
              </w:rPr>
              <w:t>Population outcomes</w:t>
            </w:r>
            <w:r>
              <w:rPr>
                <w:rFonts w:cstheme="majorHAnsi"/>
                <w:i/>
                <w:iCs/>
              </w:rPr>
              <w:t>:</w:t>
            </w:r>
          </w:p>
          <w:p w14:paraId="371505C8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1AD396D1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349BFD1" w14:textId="77777777" w:rsidR="00F07EE6" w:rsidRPr="00DA35B1" w:rsidRDefault="00F07EE6" w:rsidP="00F07EE6">
            <w:pPr>
              <w:rPr>
                <w:rFonts w:cstheme="majorHAnsi"/>
                <w:b w:val="0"/>
              </w:rPr>
            </w:pPr>
            <w:r w:rsidRPr="009C7636">
              <w:rPr>
                <w:rFonts w:cstheme="majorHAnsi"/>
                <w:i/>
                <w:iCs/>
              </w:rPr>
              <w:t>Environmental sustainability</w:t>
            </w:r>
            <w:r>
              <w:rPr>
                <w:rFonts w:cstheme="majorHAnsi"/>
                <w:i/>
                <w:iCs/>
              </w:rPr>
              <w:t>:</w:t>
            </w:r>
            <w:r w:rsidRPr="00DA35B1">
              <w:rPr>
                <w:rFonts w:cstheme="majorHAnsi"/>
              </w:rPr>
              <w:t xml:space="preserve"> </w:t>
            </w:r>
          </w:p>
          <w:p w14:paraId="13C58031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3D7A8087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FF20D58" w14:textId="77777777" w:rsidR="00F07EE6" w:rsidRDefault="00F07EE6" w:rsidP="00F07EE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6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Economic sustainability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5A7B292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4F667725" w14:textId="77777777" w:rsidTr="000679D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4C96A4F" w14:textId="77777777" w:rsidR="00F07EE6" w:rsidRDefault="00F07EE6" w:rsidP="00F07EE6">
            <w:pPr>
              <w:rPr>
                <w:rFonts w:cstheme="majorHAnsi"/>
                <w:i/>
                <w:iCs/>
              </w:rPr>
            </w:pPr>
            <w:r w:rsidRPr="009C7636">
              <w:rPr>
                <w:rFonts w:cstheme="majorHAnsi"/>
                <w:i/>
                <w:iCs/>
              </w:rPr>
              <w:t>Social sustainability</w:t>
            </w:r>
            <w:r>
              <w:rPr>
                <w:rFonts w:cstheme="majorHAnsi"/>
                <w:i/>
                <w:iCs/>
              </w:rPr>
              <w:t>:</w:t>
            </w:r>
          </w:p>
          <w:p w14:paraId="4C3CB131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C20FF6" w:rsidRPr="000A2439" w14:paraId="2A225FC0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C600166" w14:textId="2FC9E741" w:rsidR="00802D5B" w:rsidRPr="00802D5B" w:rsidRDefault="00C20FF6" w:rsidP="001D1BA7">
            <w:pPr>
              <w:pStyle w:val="Headingleveltwo"/>
              <w:rPr>
                <w:color w:val="7EB651"/>
              </w:rPr>
            </w:pPr>
            <w:r w:rsidRPr="00F01C5D">
              <w:rPr>
                <w:color w:val="7EB651"/>
              </w:rPr>
              <w:t>Results</w:t>
            </w:r>
            <w:r w:rsidR="00802D5B">
              <w:rPr>
                <w:color w:val="7EB651"/>
              </w:rPr>
              <w:t>:</w:t>
            </w:r>
          </w:p>
        </w:tc>
      </w:tr>
      <w:tr w:rsidR="00132986" w:rsidRPr="000A2439" w14:paraId="25658F8E" w14:textId="77777777" w:rsidTr="00F07E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7F6E2C0" w14:textId="1E00536F" w:rsidR="00132986" w:rsidRPr="00F07EE6" w:rsidRDefault="00E33F1B" w:rsidP="00D925E3">
            <w:pPr>
              <w:rPr>
                <w:rFonts w:cstheme="majorHAnsi"/>
                <w:b w:val="0"/>
              </w:rPr>
            </w:pPr>
            <w:r>
              <w:rPr>
                <w:rFonts w:cstheme="majorHAnsi"/>
                <w:i/>
                <w:iCs/>
              </w:rPr>
              <w:t>Patient</w:t>
            </w:r>
            <w:r w:rsidRPr="009C7636">
              <w:rPr>
                <w:rFonts w:cstheme="majorHAnsi"/>
                <w:i/>
                <w:iCs/>
              </w:rPr>
              <w:t xml:space="preserve"> </w:t>
            </w:r>
            <w:r w:rsidR="00132986" w:rsidRPr="009C7636">
              <w:rPr>
                <w:rFonts w:cstheme="majorHAnsi"/>
                <w:i/>
                <w:iCs/>
              </w:rPr>
              <w:t>outcomes</w:t>
            </w:r>
            <w:r w:rsidR="00802D5B">
              <w:rPr>
                <w:rFonts w:cstheme="majorHAnsi"/>
                <w:i/>
                <w:iCs/>
              </w:rPr>
              <w:t>:</w:t>
            </w:r>
          </w:p>
        </w:tc>
      </w:tr>
      <w:tr w:rsidR="00E33F1B" w:rsidRPr="000A2439" w14:paraId="5B04B1C1" w14:textId="77777777" w:rsidTr="00F0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38354A6" w14:textId="77777777" w:rsidR="00E33F1B" w:rsidRDefault="00E33F1B" w:rsidP="00637D57">
            <w:pPr>
              <w:rPr>
                <w:rFonts w:cstheme="majorHAnsi"/>
                <w:i/>
                <w:iCs/>
              </w:rPr>
            </w:pPr>
            <w:r w:rsidRPr="00E33F1B">
              <w:rPr>
                <w:rFonts w:cstheme="majorHAnsi"/>
                <w:i/>
                <w:iCs/>
              </w:rPr>
              <w:t>Population outcomes:</w:t>
            </w:r>
          </w:p>
          <w:p w14:paraId="41B1BF4D" w14:textId="31DDC2B5" w:rsidR="00E33F1B" w:rsidRPr="00E33F1B" w:rsidRDefault="00E33F1B" w:rsidP="00E33F1B"/>
        </w:tc>
      </w:tr>
      <w:tr w:rsidR="00132986" w:rsidRPr="000A2439" w14:paraId="3C5A8FF9" w14:textId="77777777" w:rsidTr="00F07EE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94591CF" w14:textId="54A243DA" w:rsidR="00132986" w:rsidRPr="00DA35B1" w:rsidRDefault="00132986" w:rsidP="00637D57">
            <w:pPr>
              <w:rPr>
                <w:rFonts w:cstheme="majorHAnsi"/>
                <w:b w:val="0"/>
              </w:rPr>
            </w:pPr>
            <w:r w:rsidRPr="009C7636">
              <w:rPr>
                <w:rFonts w:cstheme="majorHAnsi"/>
                <w:i/>
                <w:iCs/>
              </w:rPr>
              <w:t>Environmental sustainability</w:t>
            </w:r>
            <w:r w:rsidR="00802D5B">
              <w:rPr>
                <w:rFonts w:cstheme="majorHAnsi"/>
                <w:i/>
                <w:iCs/>
              </w:rPr>
              <w:t>:</w:t>
            </w:r>
            <w:r w:rsidRPr="00DA35B1">
              <w:rPr>
                <w:rFonts w:cstheme="majorHAnsi"/>
              </w:rPr>
              <w:t xml:space="preserve"> </w:t>
            </w:r>
          </w:p>
          <w:p w14:paraId="66E6B92B" w14:textId="55D5E1D5" w:rsidR="00132986" w:rsidRPr="001D1BA7" w:rsidRDefault="00132986" w:rsidP="00D925E3"/>
        </w:tc>
      </w:tr>
      <w:tr w:rsidR="00524CBD" w:rsidRPr="000A2439" w14:paraId="581C4BA7" w14:textId="77777777" w:rsidTr="00F0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1D33811" w14:textId="77777777" w:rsidR="00524CBD" w:rsidRDefault="00524CBD" w:rsidP="00732B8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6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Economic sustainability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1F1A8991" w14:textId="77777777" w:rsidR="00524CBD" w:rsidRPr="00765C29" w:rsidRDefault="00524CBD" w:rsidP="00732B8F"/>
        </w:tc>
      </w:tr>
      <w:tr w:rsidR="00132986" w:rsidRPr="000A2439" w14:paraId="4C44C7E1" w14:textId="77777777" w:rsidTr="00F07EE6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330B260" w14:textId="77777777" w:rsidR="00132986" w:rsidRDefault="00132986" w:rsidP="00802D5B">
            <w:pPr>
              <w:rPr>
                <w:rFonts w:cstheme="majorHAnsi"/>
                <w:i/>
                <w:iCs/>
              </w:rPr>
            </w:pPr>
            <w:r w:rsidRPr="009C7636">
              <w:rPr>
                <w:rFonts w:cstheme="majorHAnsi"/>
                <w:i/>
                <w:iCs/>
              </w:rPr>
              <w:t>Social sustainability</w:t>
            </w:r>
            <w:r w:rsidR="00802D5B">
              <w:rPr>
                <w:rFonts w:cstheme="majorHAnsi"/>
                <w:i/>
                <w:iCs/>
              </w:rPr>
              <w:t>:</w:t>
            </w:r>
          </w:p>
          <w:p w14:paraId="5AB426E3" w14:textId="0053354E" w:rsidR="00E33F1B" w:rsidRPr="001D1BA7" w:rsidRDefault="00E33F1B" w:rsidP="00E33F1B"/>
        </w:tc>
      </w:tr>
      <w:tr w:rsidR="009C7636" w:rsidRPr="000A2439" w14:paraId="70BB0954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9E13BAD" w14:textId="7970C9AC" w:rsidR="009C7636" w:rsidRPr="009C7636" w:rsidRDefault="001A777F" w:rsidP="00CD14D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92D050"/>
                <w:sz w:val="28"/>
                <w:szCs w:val="28"/>
              </w:rPr>
              <w:t>Discussion</w:t>
            </w:r>
            <w:r w:rsidR="00276EB8">
              <w:rPr>
                <w:rFonts w:asciiTheme="minorHAnsi" w:hAnsiTheme="minorHAnsi" w:cstheme="minorHAnsi"/>
                <w:color w:val="92D050"/>
                <w:sz w:val="28"/>
                <w:szCs w:val="28"/>
              </w:rPr>
              <w:t>:</w:t>
            </w:r>
          </w:p>
        </w:tc>
      </w:tr>
      <w:tr w:rsidR="00E33F1B" w:rsidRPr="000A2439" w14:paraId="4090B085" w14:textId="77777777" w:rsidTr="00D925E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AAF8A79" w14:textId="77777777" w:rsidR="00E33F1B" w:rsidRDefault="00E33F1B" w:rsidP="00E33F1B"/>
          <w:p w14:paraId="0945E21B" w14:textId="77777777" w:rsidR="00E33F1B" w:rsidRDefault="00E33F1B" w:rsidP="00B22414">
            <w:pPr>
              <w:rPr>
                <w:b w:val="0"/>
                <w:bCs w:val="0"/>
              </w:rPr>
            </w:pPr>
          </w:p>
          <w:p w14:paraId="66D97CAC" w14:textId="2A61E974" w:rsidR="00B22414" w:rsidRPr="003739C3" w:rsidRDefault="00B22414" w:rsidP="00B22414"/>
        </w:tc>
      </w:tr>
      <w:tr w:rsidR="00132986" w:rsidRPr="000A2439" w14:paraId="578DFD99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9680B7F" w14:textId="1E76DB0D" w:rsidR="003739C3" w:rsidRPr="003739C3" w:rsidRDefault="00132986" w:rsidP="003739C3">
            <w:pPr>
              <w:pStyle w:val="Headingleveltw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01C5D">
              <w:rPr>
                <w:color w:val="7EB651"/>
              </w:rPr>
              <w:t>Conclusions</w:t>
            </w:r>
            <w:r w:rsidR="00802D5B">
              <w:rPr>
                <w:color w:val="7EB651"/>
              </w:rPr>
              <w:t>:</w:t>
            </w:r>
          </w:p>
        </w:tc>
      </w:tr>
      <w:tr w:rsidR="00E33F1B" w:rsidRPr="000A2439" w14:paraId="44BBFC94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CEFBDA0" w14:textId="77777777" w:rsidR="00E33F1B" w:rsidRDefault="00E33F1B" w:rsidP="00E33F1B"/>
          <w:p w14:paraId="3738F1F5" w14:textId="77777777" w:rsidR="00E33F1B" w:rsidRDefault="00E33F1B" w:rsidP="00E33F1B"/>
          <w:p w14:paraId="26F94AEC" w14:textId="044A7361" w:rsidR="00E33F1B" w:rsidRPr="00F01C5D" w:rsidRDefault="00E33F1B" w:rsidP="00E33F1B"/>
        </w:tc>
      </w:tr>
      <w:tr w:rsidR="005A15B2" w:rsidRPr="000A2439" w14:paraId="5ECCEA0F" w14:textId="77777777" w:rsidTr="0006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02750852" w14:textId="58271D62" w:rsidR="005A15B2" w:rsidRPr="005A15B2" w:rsidRDefault="005A15B2" w:rsidP="005A15B2">
            <w:pPr>
              <w:rPr>
                <w:b w:val="0"/>
                <w:bCs w:val="0"/>
                <w:color w:val="7EB651"/>
              </w:rPr>
            </w:pPr>
            <w:r>
              <w:rPr>
                <w:color w:val="7EB651"/>
              </w:rPr>
              <w:t>References and Resources</w:t>
            </w:r>
          </w:p>
        </w:tc>
      </w:tr>
      <w:tr w:rsidR="005A15B2" w:rsidRPr="000A2439" w14:paraId="59EBC74F" w14:textId="77777777" w:rsidTr="000679D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43B034F1" w14:textId="42E1C7B1" w:rsidR="005A15B2" w:rsidRPr="005A15B2" w:rsidRDefault="005A15B2" w:rsidP="005A15B2">
            <w:pPr>
              <w:rPr>
                <w:b w:val="0"/>
                <w:bCs w:val="0"/>
                <w:color w:val="7EB651"/>
              </w:rPr>
            </w:pPr>
            <w:r>
              <w:rPr>
                <w:color w:val="7EB651"/>
              </w:rPr>
              <w:t>Appendices</w:t>
            </w:r>
          </w:p>
        </w:tc>
      </w:tr>
    </w:tbl>
    <w:p w14:paraId="45A3EB9B" w14:textId="4C939E00" w:rsidR="00263F63" w:rsidRDefault="00263F63" w:rsidP="000A2439">
      <w:pPr>
        <w:rPr>
          <w:rFonts w:cstheme="minorHAnsi"/>
        </w:rPr>
      </w:pPr>
    </w:p>
    <w:p w14:paraId="00524EDD" w14:textId="77777777" w:rsidR="002E5414" w:rsidRDefault="002E5414" w:rsidP="000A2439">
      <w:pPr>
        <w:rPr>
          <w:rFonts w:cstheme="minorHAnsi"/>
        </w:rPr>
      </w:pPr>
    </w:p>
    <w:p w14:paraId="7BEDBB01" w14:textId="77777777" w:rsidR="002E5414" w:rsidRDefault="002E5414" w:rsidP="000A2439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268"/>
      </w:tblGrid>
      <w:tr w:rsidR="002E5414" w14:paraId="6B44A068" w14:textId="77777777" w:rsidTr="002E5414">
        <w:trPr>
          <w:trHeight w:val="1192"/>
          <w:jc w:val="center"/>
        </w:trPr>
        <w:tc>
          <w:tcPr>
            <w:tcW w:w="9209" w:type="dxa"/>
            <w:gridSpan w:val="4"/>
          </w:tcPr>
          <w:p w14:paraId="6A2C20A7" w14:textId="77777777" w:rsidR="002E5414" w:rsidRDefault="002E5414" w:rsidP="00BF41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D425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Critical success factors </w:t>
            </w:r>
          </w:p>
          <w:p w14:paraId="39ED9A48" w14:textId="77777777" w:rsidR="002E5414" w:rsidRPr="006A14FA" w:rsidRDefault="002E5414" w:rsidP="00BF41D4">
            <w:r>
              <w:t xml:space="preserve">Please select one or two of the below factors that you believe were most essential to ensure the success of your project changes. </w:t>
            </w:r>
          </w:p>
        </w:tc>
      </w:tr>
      <w:tr w:rsidR="002E5414" w14:paraId="5BC50B23" w14:textId="77777777" w:rsidTr="002E5414">
        <w:trPr>
          <w:jc w:val="center"/>
        </w:trPr>
        <w:tc>
          <w:tcPr>
            <w:tcW w:w="2254" w:type="dxa"/>
          </w:tcPr>
          <w:p w14:paraId="42CAB755" w14:textId="77777777" w:rsidR="002E5414" w:rsidRDefault="002E5414" w:rsidP="00BF41D4">
            <w:pPr>
              <w:jc w:val="center"/>
              <w:rPr>
                <w:b/>
                <w:bCs/>
              </w:rPr>
            </w:pPr>
            <w:r w:rsidRPr="001C25FD">
              <w:rPr>
                <w:b/>
                <w:bCs/>
              </w:rPr>
              <w:t>People</w:t>
            </w:r>
          </w:p>
          <w:p w14:paraId="75E813F6" w14:textId="77777777" w:rsidR="002E5414" w:rsidRPr="001C25FD" w:rsidRDefault="002E5414" w:rsidP="00BF41D4">
            <w:pPr>
              <w:jc w:val="center"/>
              <w:rPr>
                <w:b/>
                <w:bCs/>
              </w:rPr>
            </w:pPr>
          </w:p>
        </w:tc>
        <w:tc>
          <w:tcPr>
            <w:tcW w:w="2419" w:type="dxa"/>
          </w:tcPr>
          <w:p w14:paraId="6352CDA2" w14:textId="77777777" w:rsidR="002E5414" w:rsidRPr="001C25FD" w:rsidRDefault="002E5414" w:rsidP="00BF41D4">
            <w:pPr>
              <w:jc w:val="center"/>
              <w:rPr>
                <w:b/>
                <w:bCs/>
              </w:rPr>
            </w:pPr>
            <w:r w:rsidRPr="001C25FD">
              <w:rPr>
                <w:b/>
                <w:bCs/>
              </w:rPr>
              <w:t>Process</w:t>
            </w:r>
          </w:p>
        </w:tc>
        <w:tc>
          <w:tcPr>
            <w:tcW w:w="2268" w:type="dxa"/>
          </w:tcPr>
          <w:p w14:paraId="7AA7B70F" w14:textId="77777777" w:rsidR="002E5414" w:rsidRPr="001C25FD" w:rsidRDefault="002E5414" w:rsidP="00BF41D4">
            <w:pPr>
              <w:jc w:val="center"/>
              <w:rPr>
                <w:b/>
                <w:bCs/>
              </w:rPr>
            </w:pPr>
            <w:r w:rsidRPr="001C25FD">
              <w:rPr>
                <w:b/>
                <w:bCs/>
              </w:rPr>
              <w:t>Resources</w:t>
            </w:r>
          </w:p>
        </w:tc>
        <w:tc>
          <w:tcPr>
            <w:tcW w:w="2268" w:type="dxa"/>
          </w:tcPr>
          <w:p w14:paraId="0F26BA48" w14:textId="77777777" w:rsidR="002E5414" w:rsidRDefault="002E5414" w:rsidP="00BF4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</w:t>
            </w:r>
          </w:p>
        </w:tc>
      </w:tr>
      <w:tr w:rsidR="002E5414" w14:paraId="1384399D" w14:textId="77777777" w:rsidTr="002E5414">
        <w:trPr>
          <w:jc w:val="center"/>
        </w:trPr>
        <w:tc>
          <w:tcPr>
            <w:tcW w:w="2254" w:type="dxa"/>
          </w:tcPr>
          <w:p w14:paraId="31491349" w14:textId="77777777" w:rsidR="002E5414" w:rsidRPr="002E5414" w:rsidRDefault="002E5414" w:rsidP="00BF41D4">
            <w:pPr>
              <w:pStyle w:val="pf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390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  <w:sz w:val="20"/>
                <w:szCs w:val="20"/>
              </w:rPr>
              <w:t xml:space="preserve"> Patient involvement and/or a</w:t>
            </w:r>
            <w:r w:rsidRPr="002E5414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ppropriate information for patients - to raise awareness and understanding of </w:t>
            </w:r>
            <w:proofErr w:type="gramStart"/>
            <w:r w:rsidRPr="002E5414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intervention</w:t>
            </w:r>
            <w:proofErr w:type="gramEnd"/>
          </w:p>
          <w:p w14:paraId="5B759BA1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814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Staff engagement  </w:t>
            </w:r>
          </w:p>
          <w:p w14:paraId="49E04D99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3D0DC5D1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780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MDT / Cross-department </w:t>
            </w:r>
          </w:p>
          <w:p w14:paraId="546AB798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r w:rsidRPr="002E5414">
              <w:rPr>
                <w:rFonts w:asciiTheme="majorHAnsi" w:hAnsiTheme="majorHAnsi" w:cstheme="majorHAnsi"/>
              </w:rPr>
              <w:t xml:space="preserve"> communication </w:t>
            </w:r>
          </w:p>
          <w:p w14:paraId="1D1225CD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5C40EC4F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48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Skills and capability of staff</w:t>
            </w:r>
          </w:p>
          <w:p w14:paraId="41B66D70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0E913A42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549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Team/service agreement that there is a problem and changes are suitable to trial (</w:t>
            </w:r>
            <w:r w:rsidRPr="002E5414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Knowledge and understanding of the issue)</w:t>
            </w:r>
          </w:p>
          <w:p w14:paraId="74749DE9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38DAECBB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73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Support from senior </w:t>
            </w:r>
            <w:proofErr w:type="spellStart"/>
            <w:r w:rsidRPr="002E5414">
              <w:rPr>
                <w:rFonts w:asciiTheme="majorHAnsi" w:hAnsiTheme="majorHAnsi" w:cstheme="majorHAnsi"/>
              </w:rPr>
              <w:t>organisational</w:t>
            </w:r>
            <w:proofErr w:type="spellEnd"/>
            <w:r w:rsidRPr="002E5414">
              <w:rPr>
                <w:rFonts w:asciiTheme="majorHAnsi" w:hAnsiTheme="majorHAnsi" w:cstheme="majorHAnsi"/>
              </w:rPr>
              <w:t xml:space="preserve"> or system leaders</w:t>
            </w:r>
          </w:p>
          <w:p w14:paraId="41B889CA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5F8AEBA3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6F7EC393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6D21C5CD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9" w:type="dxa"/>
          </w:tcPr>
          <w:p w14:paraId="43AE3CCA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50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</w:t>
            </w:r>
            <w:r w:rsidRPr="002E5414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clear guidance / evidence / policy to support the intervention. </w:t>
            </w:r>
          </w:p>
          <w:p w14:paraId="0E5ED9D8" w14:textId="77777777" w:rsidR="002E5414" w:rsidRPr="002E5414" w:rsidRDefault="002E5414" w:rsidP="00BF41D4">
            <w:pPr>
              <w:pStyle w:val="pf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9263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5414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E5414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Incentivisation</w:t>
            </w:r>
            <w:proofErr w:type="spellEnd"/>
            <w:r w:rsidRPr="002E5414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 of the strategy – e.g., QOF in general practice</w:t>
            </w:r>
          </w:p>
          <w:p w14:paraId="67D7D961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033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systematic and coordinated </w:t>
            </w:r>
            <w:proofErr w:type="gramStart"/>
            <w:r w:rsidRPr="002E5414">
              <w:rPr>
                <w:rFonts w:asciiTheme="majorHAnsi" w:hAnsiTheme="majorHAnsi" w:cstheme="majorHAnsi"/>
              </w:rPr>
              <w:t>approach</w:t>
            </w:r>
            <w:proofErr w:type="gramEnd"/>
          </w:p>
          <w:p w14:paraId="5EBB5AFE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549EACAC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602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clear, measurable targets </w:t>
            </w:r>
          </w:p>
          <w:p w14:paraId="665319A0" w14:textId="77777777" w:rsidR="002E5414" w:rsidRPr="002E5414" w:rsidRDefault="002E5414" w:rsidP="00BF41D4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1D0AF27B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162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long-term strategy for sustaining and embedding change developed in planning </w:t>
            </w:r>
            <w:proofErr w:type="gramStart"/>
            <w:r w:rsidRPr="002E5414">
              <w:rPr>
                <w:rFonts w:asciiTheme="majorHAnsi" w:hAnsiTheme="majorHAnsi" w:cstheme="majorHAnsi"/>
              </w:rPr>
              <w:t>phase</w:t>
            </w:r>
            <w:proofErr w:type="gramEnd"/>
          </w:p>
          <w:p w14:paraId="48052CFA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099B59ED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910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</w:t>
            </w:r>
            <w:r w:rsidRPr="002E5414">
              <w:rPr>
                <w:rFonts w:asciiTheme="majorHAnsi" w:hAnsiTheme="majorHAnsi" w:cstheme="majorHAnsi"/>
                <w:shd w:val="clear" w:color="auto" w:fill="FFFFFF"/>
              </w:rPr>
              <w:t>integrating the intervention into the natural workflow, team functions, technology systems, and incentive structures</w:t>
            </w:r>
            <w:r w:rsidRPr="002E5414">
              <w:rPr>
                <w:rFonts w:asciiTheme="majorHAnsi" w:hAnsiTheme="majorHAnsi" w:cstheme="majorHAnsi"/>
              </w:rPr>
              <w:t xml:space="preserve"> of the team/service/</w:t>
            </w:r>
            <w:proofErr w:type="spellStart"/>
            <w:r w:rsidRPr="002E5414">
              <w:rPr>
                <w:rFonts w:asciiTheme="majorHAnsi" w:hAnsiTheme="majorHAnsi" w:cstheme="majorHAnsi"/>
              </w:rPr>
              <w:t>organisation</w:t>
            </w:r>
            <w:proofErr w:type="spellEnd"/>
          </w:p>
          <w:p w14:paraId="27D58A2D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4622B936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3D2836CB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ACACBFB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829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Dedicated time</w:t>
            </w:r>
          </w:p>
          <w:p w14:paraId="61004BE6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636CB016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579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QI training / information resources and </w:t>
            </w:r>
            <w:proofErr w:type="spellStart"/>
            <w:r w:rsidRPr="002E5414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2E5414">
              <w:rPr>
                <w:rFonts w:asciiTheme="majorHAnsi" w:hAnsiTheme="majorHAnsi" w:cstheme="majorHAnsi"/>
              </w:rPr>
              <w:t xml:space="preserve"> process / support</w:t>
            </w:r>
          </w:p>
          <w:p w14:paraId="5BAC2DA8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776074EC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4A727B58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89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Infrastructure capable of providing teams with information, data and equipment </w:t>
            </w:r>
            <w:proofErr w:type="gramStart"/>
            <w:r w:rsidRPr="002E5414">
              <w:rPr>
                <w:rFonts w:asciiTheme="majorHAnsi" w:hAnsiTheme="majorHAnsi" w:cstheme="majorHAnsi"/>
              </w:rPr>
              <w:t>needed</w:t>
            </w:r>
            <w:proofErr w:type="gramEnd"/>
          </w:p>
          <w:p w14:paraId="24F2B151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0D893BCF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119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Research / evidence of change successfully implemented </w:t>
            </w:r>
            <w:proofErr w:type="gramStart"/>
            <w:r w:rsidRPr="002E5414">
              <w:rPr>
                <w:rFonts w:asciiTheme="majorHAnsi" w:hAnsiTheme="majorHAnsi" w:cstheme="majorHAnsi"/>
              </w:rPr>
              <w:t>elsewhere</w:t>
            </w:r>
            <w:proofErr w:type="gramEnd"/>
          </w:p>
          <w:p w14:paraId="64C81D55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6C1A3B5D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404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Financial investment</w:t>
            </w:r>
          </w:p>
        </w:tc>
        <w:tc>
          <w:tcPr>
            <w:tcW w:w="2268" w:type="dxa"/>
          </w:tcPr>
          <w:p w14:paraId="456457CB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01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aims aligned with wider service, </w:t>
            </w:r>
            <w:proofErr w:type="spellStart"/>
            <w:r w:rsidRPr="002E5414">
              <w:rPr>
                <w:rFonts w:asciiTheme="majorHAnsi" w:hAnsiTheme="majorHAnsi" w:cstheme="majorHAnsi"/>
              </w:rPr>
              <w:t>organisational</w:t>
            </w:r>
            <w:proofErr w:type="spellEnd"/>
            <w:r w:rsidRPr="002E5414">
              <w:rPr>
                <w:rFonts w:asciiTheme="majorHAnsi" w:hAnsiTheme="majorHAnsi" w:cstheme="majorHAnsi"/>
              </w:rPr>
              <w:t xml:space="preserve"> or system goals.</w:t>
            </w:r>
          </w:p>
          <w:p w14:paraId="3588EE13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612214E2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476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Links to patient benefits / clinical outcomes</w:t>
            </w:r>
          </w:p>
          <w:p w14:paraId="738814F7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46993307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186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Links to staff benefits</w:t>
            </w:r>
          </w:p>
          <w:p w14:paraId="7E477193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  <w:p w14:paraId="15DD1309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8018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4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5414">
              <w:rPr>
                <w:rFonts w:asciiTheme="majorHAnsi" w:hAnsiTheme="majorHAnsi" w:cstheme="majorHAnsi"/>
              </w:rPr>
              <w:t xml:space="preserve"> ‘Permission’ given through the </w:t>
            </w:r>
            <w:proofErr w:type="spellStart"/>
            <w:r w:rsidRPr="002E5414">
              <w:rPr>
                <w:rFonts w:asciiTheme="majorHAnsi" w:hAnsiTheme="majorHAnsi" w:cstheme="majorHAnsi"/>
              </w:rPr>
              <w:t>organisational</w:t>
            </w:r>
            <w:proofErr w:type="spellEnd"/>
            <w:r w:rsidRPr="002E5414">
              <w:rPr>
                <w:rFonts w:asciiTheme="majorHAnsi" w:hAnsiTheme="majorHAnsi" w:cstheme="majorHAnsi"/>
              </w:rPr>
              <w:t xml:space="preserve"> context, </w:t>
            </w:r>
            <w:proofErr w:type="gramStart"/>
            <w:r w:rsidRPr="002E5414">
              <w:rPr>
                <w:rFonts w:asciiTheme="majorHAnsi" w:hAnsiTheme="majorHAnsi" w:cstheme="majorHAnsi"/>
              </w:rPr>
              <w:t>capacity</w:t>
            </w:r>
            <w:proofErr w:type="gramEnd"/>
            <w:r w:rsidRPr="002E5414">
              <w:rPr>
                <w:rFonts w:asciiTheme="majorHAnsi" w:hAnsiTheme="majorHAnsi" w:cstheme="majorHAnsi"/>
              </w:rPr>
              <w:t xml:space="preserve"> and positive change culture.</w:t>
            </w:r>
          </w:p>
          <w:p w14:paraId="5D2FF2D8" w14:textId="77777777" w:rsidR="002E5414" w:rsidRPr="002E5414" w:rsidRDefault="002E5414" w:rsidP="00BF41D4">
            <w:pPr>
              <w:rPr>
                <w:rFonts w:asciiTheme="majorHAnsi" w:hAnsiTheme="majorHAnsi" w:cstheme="majorHAnsi"/>
              </w:rPr>
            </w:pPr>
          </w:p>
        </w:tc>
      </w:tr>
    </w:tbl>
    <w:p w14:paraId="7B7ADE7E" w14:textId="7E7F7D10" w:rsidR="002E5414" w:rsidRDefault="002E5414" w:rsidP="000A2439">
      <w:pPr>
        <w:rPr>
          <w:rFonts w:cstheme="minorHAnsi"/>
        </w:rPr>
      </w:pPr>
    </w:p>
    <w:p w14:paraId="7E62F725" w14:textId="7E841996" w:rsidR="00E67D57" w:rsidRDefault="005A15B2" w:rsidP="000A2439">
      <w:pPr>
        <w:rPr>
          <w:rStyle w:val="Hyperlink"/>
          <w:rFonts w:asciiTheme="majorHAnsi" w:hAnsiTheme="majorHAnsi" w:cstheme="majorHAnsi"/>
          <w:b/>
          <w:i/>
          <w:sz w:val="24"/>
          <w:szCs w:val="24"/>
        </w:rPr>
      </w:pPr>
      <w:r>
        <w:rPr>
          <w:rStyle w:val="Hyperlink"/>
          <w:rFonts w:asciiTheme="majorHAnsi" w:hAnsiTheme="majorHAnsi" w:cstheme="majorHAnsi"/>
          <w:b/>
          <w:i/>
          <w:sz w:val="24"/>
          <w:szCs w:val="24"/>
        </w:rPr>
        <w:t xml:space="preserve">Template </w:t>
      </w:r>
      <w:r w:rsidR="00E67D57">
        <w:rPr>
          <w:rStyle w:val="Hyperlink"/>
          <w:rFonts w:asciiTheme="majorHAnsi" w:hAnsiTheme="majorHAnsi" w:cstheme="majorHAnsi"/>
          <w:b/>
          <w:i/>
          <w:sz w:val="24"/>
          <w:szCs w:val="24"/>
        </w:rPr>
        <w:t>References</w:t>
      </w:r>
    </w:p>
    <w:p w14:paraId="2FA318BE" w14:textId="77777777" w:rsidR="000679DC" w:rsidRPr="000679DC" w:rsidRDefault="00000000" w:rsidP="000679DC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auto"/>
          <w:u w:val="none"/>
        </w:rPr>
      </w:pPr>
      <w:hyperlink r:id="rId9" w:history="1">
        <w:r w:rsidR="00742864" w:rsidRPr="000679DC">
          <w:rPr>
            <w:rStyle w:val="Hyperlink"/>
            <w:color w:val="4472C4" w:themeColor="accent1"/>
          </w:rPr>
          <w:t>SQUIRE | SQUIRE 2.0 Guidelines (squire-statement.org)</w:t>
        </w:r>
      </w:hyperlink>
      <w:bookmarkEnd w:id="5"/>
    </w:p>
    <w:p w14:paraId="7B43235F" w14:textId="5B178055" w:rsidR="000679DC" w:rsidRPr="000679DC" w:rsidRDefault="00000000" w:rsidP="000679DC">
      <w:pPr>
        <w:pStyle w:val="ListParagraph"/>
        <w:numPr>
          <w:ilvl w:val="0"/>
          <w:numId w:val="7"/>
        </w:numPr>
        <w:rPr>
          <w:rFonts w:cstheme="minorHAnsi"/>
        </w:rPr>
      </w:pPr>
      <w:hyperlink r:id="rId10" w:history="1">
        <w:r w:rsidR="000679DC" w:rsidRPr="000679DC">
          <w:rPr>
            <w:rStyle w:val="Hyperlink"/>
            <w:color w:val="4472C4" w:themeColor="accent1"/>
          </w:rPr>
          <w:t>Home | Sustainable Quality Improvement (susqi.org)</w:t>
        </w:r>
      </w:hyperlink>
    </w:p>
    <w:sectPr w:rsidR="000679DC" w:rsidRPr="000679DC" w:rsidSect="00E67D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FBDC" w14:textId="77777777" w:rsidR="00D47454" w:rsidRDefault="00D47454" w:rsidP="000A2439">
      <w:pPr>
        <w:spacing w:after="0" w:line="240" w:lineRule="auto"/>
      </w:pPr>
      <w:r>
        <w:separator/>
      </w:r>
    </w:p>
  </w:endnote>
  <w:endnote w:type="continuationSeparator" w:id="0">
    <w:p w14:paraId="01FF48C3" w14:textId="77777777" w:rsidR="00D47454" w:rsidRDefault="00D47454" w:rsidP="000A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9854296"/>
      <w:docPartObj>
        <w:docPartGallery w:val="Page Numbers (Bottom of Page)"/>
        <w:docPartUnique/>
      </w:docPartObj>
    </w:sdtPr>
    <w:sdtContent>
      <w:p w14:paraId="69DBBBDA" w14:textId="1AF54BE6" w:rsidR="00A026AF" w:rsidRDefault="00A026AF" w:rsidP="00B709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96C8C" w14:textId="77777777" w:rsidR="00A026AF" w:rsidRDefault="00A026AF" w:rsidP="00A0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1788803"/>
      <w:docPartObj>
        <w:docPartGallery w:val="Page Numbers (Bottom of Page)"/>
        <w:docPartUnique/>
      </w:docPartObj>
    </w:sdtPr>
    <w:sdtContent>
      <w:p w14:paraId="3C6893DE" w14:textId="77777777" w:rsidR="00F07EE6" w:rsidRDefault="00F07EE6" w:rsidP="00F07E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13FD0C09" w14:textId="7583CCC1" w:rsidR="00A026AF" w:rsidRPr="00F07EE6" w:rsidRDefault="00F07EE6" w:rsidP="00F07EE6">
    <w:pPr>
      <w:pStyle w:val="Default"/>
      <w:ind w:right="357"/>
      <w:rPr>
        <w:rFonts w:ascii="Cambria" w:hAnsi="Cambria" w:cs="GillSans"/>
        <w:color w:val="A6A6A6"/>
        <w:sz w:val="18"/>
        <w:szCs w:val="18"/>
        <w:lang w:val="fr-FR"/>
      </w:rPr>
    </w:pPr>
    <w:r w:rsidRPr="00D925E3">
      <w:rPr>
        <w:noProof/>
        <w:color w:val="FF0000"/>
      </w:rPr>
      <w:drawing>
        <wp:anchor distT="0" distB="0" distL="114300" distR="114300" simplePos="0" relativeHeight="251665408" behindDoc="0" locked="0" layoutInCell="1" allowOverlap="1" wp14:anchorId="202DFE28" wp14:editId="1F7C1023">
          <wp:simplePos x="0" y="0"/>
          <wp:positionH relativeFrom="margin">
            <wp:posOffset>-675114</wp:posOffset>
          </wp:positionH>
          <wp:positionV relativeFrom="page">
            <wp:posOffset>9729470</wp:posOffset>
          </wp:positionV>
          <wp:extent cx="814070" cy="814070"/>
          <wp:effectExtent l="0" t="0" r="0" b="508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0EE2">
      <w:rPr>
        <w:rStyle w:val="A2"/>
        <w:rFonts w:ascii="Cambria" w:hAnsi="Cambria"/>
        <w:b/>
        <w:bCs/>
        <w:color w:val="A6A6A6"/>
        <w:sz w:val="18"/>
        <w:szCs w:val="18"/>
      </w:rPr>
      <w:t>The Centre for Sustainable Healthcare</w:t>
    </w:r>
    <w:r w:rsidRPr="002B5FAB">
      <w:rPr>
        <w:rStyle w:val="A2"/>
        <w:rFonts w:ascii="Cambria" w:hAnsi="Cambria"/>
        <w:color w:val="A6A6A6"/>
        <w:sz w:val="18"/>
        <w:szCs w:val="18"/>
      </w:rPr>
      <w:t xml:space="preserve"> is registered as a company limited by guarantee in England &amp; Wales No. 7450026 and as a charity No 1143189. Registered address 8 King Edward Street, Oxford OX1 4HL.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907580"/>
      <w:docPartObj>
        <w:docPartGallery w:val="Page Numbers (Bottom of Page)"/>
        <w:docPartUnique/>
      </w:docPartObj>
    </w:sdtPr>
    <w:sdtContent>
      <w:p w14:paraId="5E2757CA" w14:textId="77777777" w:rsidR="00E67D57" w:rsidRDefault="00E67D57" w:rsidP="00E67D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44E843C" w14:textId="360F1BDE" w:rsidR="00A026AF" w:rsidRPr="00F92AD7" w:rsidRDefault="00F92AD7" w:rsidP="00E67D57">
    <w:pPr>
      <w:pStyle w:val="Default"/>
      <w:ind w:right="357"/>
      <w:rPr>
        <w:rFonts w:ascii="Cambria" w:hAnsi="Cambria" w:cs="GillSans Light"/>
        <w:b/>
        <w:bCs/>
        <w:color w:val="A6A6A6"/>
        <w:sz w:val="18"/>
        <w:szCs w:val="18"/>
      </w:rPr>
    </w:pPr>
    <w:r>
      <w:rPr>
        <w:rStyle w:val="A2"/>
        <w:rFonts w:ascii="Cambria" w:hAnsi="Cambria"/>
        <w:b/>
        <w:bCs/>
        <w:color w:val="A6A6A6"/>
        <w:sz w:val="18"/>
        <w:szCs w:val="18"/>
      </w:rPr>
      <w:t>This template forms part of the SusQI Toolkit available at susqi.org developed by the Centre for Sustainable Healthcare (CSH).</w:t>
    </w:r>
    <w:r w:rsidR="00F07EE6" w:rsidRPr="00D925E3">
      <w:rPr>
        <w:noProof/>
        <w:color w:val="FF0000"/>
      </w:rPr>
      <w:drawing>
        <wp:anchor distT="0" distB="0" distL="114300" distR="114300" simplePos="0" relativeHeight="251663360" behindDoc="0" locked="0" layoutInCell="1" allowOverlap="1" wp14:anchorId="44145D7C" wp14:editId="002DF5EE">
          <wp:simplePos x="0" y="0"/>
          <wp:positionH relativeFrom="margin">
            <wp:posOffset>-675114</wp:posOffset>
          </wp:positionH>
          <wp:positionV relativeFrom="page">
            <wp:posOffset>9729470</wp:posOffset>
          </wp:positionV>
          <wp:extent cx="814070" cy="814070"/>
          <wp:effectExtent l="0" t="0" r="0" b="508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2"/>
        <w:rFonts w:ascii="Cambria" w:hAnsi="Cambria"/>
        <w:b/>
        <w:bCs/>
        <w:color w:val="A6A6A6"/>
        <w:sz w:val="18"/>
        <w:szCs w:val="18"/>
      </w:rPr>
      <w:t xml:space="preserve"> CSH</w:t>
    </w:r>
    <w:r w:rsidR="00E67D57" w:rsidRPr="002B5FAB">
      <w:rPr>
        <w:rStyle w:val="A2"/>
        <w:rFonts w:ascii="Cambria" w:hAnsi="Cambria"/>
        <w:color w:val="A6A6A6"/>
        <w:sz w:val="18"/>
        <w:szCs w:val="18"/>
      </w:rPr>
      <w:t xml:space="preserve"> is registered as a company limited by guarantee in England &amp; Wales No. 7450026 and as a charity No 1143189. Registered address 8 King Edward Street, Oxford OX1 4HL.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E0B1" w14:textId="77777777" w:rsidR="00D47454" w:rsidRDefault="00D47454" w:rsidP="000A2439">
      <w:pPr>
        <w:spacing w:after="0" w:line="240" w:lineRule="auto"/>
      </w:pPr>
      <w:r>
        <w:separator/>
      </w:r>
    </w:p>
  </w:footnote>
  <w:footnote w:type="continuationSeparator" w:id="0">
    <w:p w14:paraId="752CB44E" w14:textId="77777777" w:rsidR="00D47454" w:rsidRDefault="00D47454" w:rsidP="000A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FDF" w14:textId="620D81EA" w:rsidR="008D1A3F" w:rsidRDefault="008D1A3F" w:rsidP="000A2439">
    <w:pPr>
      <w:pStyle w:val="Header"/>
      <w:tabs>
        <w:tab w:val="clear" w:pos="4320"/>
        <w:tab w:val="clear" w:pos="8640"/>
        <w:tab w:val="left" w:pos="7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A9E" w14:textId="5A4923F1" w:rsidR="00E67D57" w:rsidRPr="00D925E3" w:rsidRDefault="00E67D57" w:rsidP="00A026AF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CD6"/>
    <w:multiLevelType w:val="hybridMultilevel"/>
    <w:tmpl w:val="9C80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1E"/>
    <w:multiLevelType w:val="hybridMultilevel"/>
    <w:tmpl w:val="691C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86E"/>
    <w:multiLevelType w:val="hybridMultilevel"/>
    <w:tmpl w:val="729A1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577745D2"/>
    <w:multiLevelType w:val="hybridMultilevel"/>
    <w:tmpl w:val="AE94EA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A50FE"/>
    <w:multiLevelType w:val="hybridMultilevel"/>
    <w:tmpl w:val="B2C6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E45"/>
    <w:multiLevelType w:val="hybridMultilevel"/>
    <w:tmpl w:val="25FC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3D31"/>
    <w:multiLevelType w:val="hybridMultilevel"/>
    <w:tmpl w:val="9622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87118">
    <w:abstractNumId w:val="0"/>
  </w:num>
  <w:num w:numId="2" w16cid:durableId="1715081361">
    <w:abstractNumId w:val="5"/>
  </w:num>
  <w:num w:numId="3" w16cid:durableId="1453403453">
    <w:abstractNumId w:val="1"/>
  </w:num>
  <w:num w:numId="4" w16cid:durableId="9570680">
    <w:abstractNumId w:val="2"/>
  </w:num>
  <w:num w:numId="5" w16cid:durableId="453140382">
    <w:abstractNumId w:val="3"/>
  </w:num>
  <w:num w:numId="6" w16cid:durableId="1629505264">
    <w:abstractNumId w:val="4"/>
  </w:num>
  <w:num w:numId="7" w16cid:durableId="1557353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50"/>
    <w:rsid w:val="000679DC"/>
    <w:rsid w:val="00076ECA"/>
    <w:rsid w:val="00084879"/>
    <w:rsid w:val="000A2439"/>
    <w:rsid w:val="001001B6"/>
    <w:rsid w:val="00127C75"/>
    <w:rsid w:val="00132986"/>
    <w:rsid w:val="00141D5F"/>
    <w:rsid w:val="00143A4E"/>
    <w:rsid w:val="00146E79"/>
    <w:rsid w:val="001A777F"/>
    <w:rsid w:val="001D1BA7"/>
    <w:rsid w:val="001F48F7"/>
    <w:rsid w:val="00230787"/>
    <w:rsid w:val="00263F63"/>
    <w:rsid w:val="00276EB8"/>
    <w:rsid w:val="0028303A"/>
    <w:rsid w:val="00285D01"/>
    <w:rsid w:val="002E5414"/>
    <w:rsid w:val="003200A7"/>
    <w:rsid w:val="003434F0"/>
    <w:rsid w:val="00350135"/>
    <w:rsid w:val="003739C3"/>
    <w:rsid w:val="00386AC3"/>
    <w:rsid w:val="003A4A53"/>
    <w:rsid w:val="00424105"/>
    <w:rsid w:val="0044610E"/>
    <w:rsid w:val="00453319"/>
    <w:rsid w:val="00464361"/>
    <w:rsid w:val="00487C30"/>
    <w:rsid w:val="00524CBD"/>
    <w:rsid w:val="00547A42"/>
    <w:rsid w:val="00574236"/>
    <w:rsid w:val="005A15B2"/>
    <w:rsid w:val="005B02B0"/>
    <w:rsid w:val="005B603A"/>
    <w:rsid w:val="005E5F23"/>
    <w:rsid w:val="00622D9D"/>
    <w:rsid w:val="00634142"/>
    <w:rsid w:val="00635A72"/>
    <w:rsid w:val="00637D57"/>
    <w:rsid w:val="00670746"/>
    <w:rsid w:val="006F2773"/>
    <w:rsid w:val="00707771"/>
    <w:rsid w:val="007267B0"/>
    <w:rsid w:val="00742864"/>
    <w:rsid w:val="00765C29"/>
    <w:rsid w:val="0078721A"/>
    <w:rsid w:val="00802D5B"/>
    <w:rsid w:val="00822328"/>
    <w:rsid w:val="00837075"/>
    <w:rsid w:val="008D1A3F"/>
    <w:rsid w:val="00957C67"/>
    <w:rsid w:val="00961F1C"/>
    <w:rsid w:val="00995DAB"/>
    <w:rsid w:val="009A2150"/>
    <w:rsid w:val="009C7636"/>
    <w:rsid w:val="00A026AF"/>
    <w:rsid w:val="00A203C7"/>
    <w:rsid w:val="00A50F01"/>
    <w:rsid w:val="00A80559"/>
    <w:rsid w:val="00AD6CBC"/>
    <w:rsid w:val="00B22414"/>
    <w:rsid w:val="00C013A2"/>
    <w:rsid w:val="00C20FF6"/>
    <w:rsid w:val="00CA1C2D"/>
    <w:rsid w:val="00CD14D8"/>
    <w:rsid w:val="00CF4896"/>
    <w:rsid w:val="00D47454"/>
    <w:rsid w:val="00D8325C"/>
    <w:rsid w:val="00D925E3"/>
    <w:rsid w:val="00DB1753"/>
    <w:rsid w:val="00E33F1B"/>
    <w:rsid w:val="00E63BB6"/>
    <w:rsid w:val="00E67D57"/>
    <w:rsid w:val="00E916E9"/>
    <w:rsid w:val="00EB512B"/>
    <w:rsid w:val="00F01C5D"/>
    <w:rsid w:val="00F07EE6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48DD4"/>
  <w15:docId w15:val="{6C9D6D1E-0565-D848-B96B-156A6D6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150"/>
    <w:pPr>
      <w:pBdr>
        <w:top w:val="single" w:sz="36" w:space="0" w:color="7DB550"/>
        <w:left w:val="single" w:sz="36" w:space="0" w:color="7DB550"/>
        <w:bottom w:val="single" w:sz="36" w:space="0" w:color="7DB550"/>
        <w:right w:val="single" w:sz="36" w:space="0" w:color="7DB550"/>
      </w:pBdr>
      <w:shd w:val="clear" w:color="auto" w:fill="7DB550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50"/>
    <w:rPr>
      <w:rFonts w:eastAsiaTheme="minorEastAsia"/>
      <w:caps/>
      <w:color w:val="FFFFFF" w:themeColor="background1"/>
      <w:spacing w:val="15"/>
      <w:shd w:val="clear" w:color="auto" w:fill="7DB550"/>
    </w:rPr>
  </w:style>
  <w:style w:type="paragraph" w:styleId="ListParagraph">
    <w:name w:val="List Paragraph"/>
    <w:basedOn w:val="Normal"/>
    <w:uiPriority w:val="34"/>
    <w:qFormat/>
    <w:rsid w:val="009A21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2150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9A215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39"/>
  </w:style>
  <w:style w:type="paragraph" w:styleId="Footer">
    <w:name w:val="footer"/>
    <w:basedOn w:val="Normal"/>
    <w:link w:val="Foot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39"/>
  </w:style>
  <w:style w:type="paragraph" w:customStyle="1" w:styleId="Headingleveltwo">
    <w:name w:val="Heading level two"/>
    <w:basedOn w:val="Normal"/>
    <w:qFormat/>
    <w:rsid w:val="000A2439"/>
    <w:pPr>
      <w:spacing w:before="120" w:after="240" w:line="260" w:lineRule="exact"/>
    </w:pPr>
    <w:rPr>
      <w:rFonts w:ascii="Calibri Light" w:eastAsia="MS Mincho" w:hAnsi="Calibri Light" w:cs="Times New Roman"/>
      <w:color w:val="84BD00"/>
      <w:sz w:val="28"/>
      <w:szCs w:val="28"/>
      <w:lang w:eastAsia="en-GB"/>
    </w:rPr>
  </w:style>
  <w:style w:type="paragraph" w:customStyle="1" w:styleId="Headinglevelone">
    <w:name w:val="Heading level one"/>
    <w:basedOn w:val="Normal"/>
    <w:qFormat/>
    <w:rsid w:val="000A2439"/>
    <w:pPr>
      <w:spacing w:after="0" w:line="240" w:lineRule="auto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customStyle="1" w:styleId="Body">
    <w:name w:val="Body"/>
    <w:rsid w:val="000A2439"/>
    <w:pPr>
      <w:spacing w:after="0" w:line="240" w:lineRule="auto"/>
    </w:pPr>
    <w:rPr>
      <w:rFonts w:eastAsia="ヒラギノ角ゴ Pro W3" w:cs="Times New Roman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1A3F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  <w:style w:type="character" w:customStyle="1" w:styleId="A1">
    <w:name w:val="A1"/>
    <w:uiPriority w:val="99"/>
    <w:rsid w:val="00A026AF"/>
    <w:rPr>
      <w:rFonts w:ascii="GillSans Light" w:hAnsi="GillSans Light" w:cs="GillSans Light"/>
      <w:color w:val="000000"/>
      <w:sz w:val="20"/>
      <w:szCs w:val="20"/>
    </w:rPr>
  </w:style>
  <w:style w:type="character" w:customStyle="1" w:styleId="A2">
    <w:name w:val="A2"/>
    <w:uiPriority w:val="99"/>
    <w:rsid w:val="00A026AF"/>
    <w:rPr>
      <w:rFonts w:ascii="GillSans Light" w:hAnsi="GillSans Light" w:cs="GillSans Light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026AF"/>
  </w:style>
  <w:style w:type="paragraph" w:styleId="Revision">
    <w:name w:val="Revision"/>
    <w:hidden/>
    <w:uiPriority w:val="99"/>
    <w:semiHidden/>
    <w:rsid w:val="00285D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25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5E3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99"/>
    <w:rsid w:val="00D925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D925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f0">
    <w:name w:val="pf0"/>
    <w:basedOn w:val="Normal"/>
    <w:rsid w:val="002E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2E541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re-statement.org/index.cfm?fuseaction=Page.ViewPage&amp;pageId=4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susq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quire-statement.org/index.cfm?fuseaction=Page.ViewPage&amp;pageId=47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59CBAC-E691-B34A-A6FB-FD4B89DF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Bush</dc:creator>
  <cp:keywords/>
  <dc:description/>
  <cp:lastModifiedBy>Rachel  McLean</cp:lastModifiedBy>
  <cp:revision>8</cp:revision>
  <cp:lastPrinted>2021-12-10T10:22:00Z</cp:lastPrinted>
  <dcterms:created xsi:type="dcterms:W3CDTF">2022-08-31T10:13:00Z</dcterms:created>
  <dcterms:modified xsi:type="dcterms:W3CDTF">2023-12-21T11:08:00Z</dcterms:modified>
</cp:coreProperties>
</file>