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b4c6"/>
          <w:sz w:val="40"/>
          <w:szCs w:val="40"/>
        </w:rPr>
      </w:pPr>
      <w:r w:rsidDel="00000000" w:rsidR="00000000" w:rsidRPr="00000000">
        <w:rPr>
          <w:rtl w:val="0"/>
        </w:rPr>
      </w:r>
    </w:p>
    <w:p w:rsidR="00000000" w:rsidDel="00000000" w:rsidP="00000000" w:rsidRDefault="00000000" w:rsidRPr="00000000" w14:paraId="00000002">
      <w:pPr>
        <w:spacing w:after="240" w:lineRule="auto"/>
        <w:rPr>
          <w:rFonts w:ascii="Calibri" w:cs="Calibri" w:eastAsia="Calibri" w:hAnsi="Calibri"/>
          <w:b w:val="1"/>
          <w:color w:val="00b4c6"/>
          <w:sz w:val="40"/>
          <w:szCs w:val="40"/>
        </w:rPr>
      </w:pPr>
      <w:r w:rsidDel="00000000" w:rsidR="00000000" w:rsidRPr="00000000">
        <w:rPr>
          <w:rFonts w:ascii="Calibri" w:cs="Calibri" w:eastAsia="Calibri" w:hAnsi="Calibri"/>
          <w:b w:val="1"/>
          <w:color w:val="00b4c6"/>
          <w:sz w:val="40"/>
          <w:szCs w:val="40"/>
          <w:rtl w:val="0"/>
        </w:rPr>
        <w:t xml:space="preserve">Scanning for waste</w:t>
      </w:r>
    </w:p>
    <w:p w:rsidR="00000000" w:rsidDel="00000000" w:rsidP="00000000" w:rsidRDefault="00000000" w:rsidRPr="00000000" w14:paraId="00000003">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find that opportunities to reduce waste in the system jump out at you from your process map. Alternatively you may find it helpful to use the table below to scan systematically for different types of waste. You may then design your project to focus on a particular type of waste. You do not need to fill in every box in the table but they are helpful prompts to consider when studying your service. If you can, be as specific as possible about where you identify a wasteful process. </w:t>
      </w:r>
    </w:p>
    <w:p w:rsidR="00000000" w:rsidDel="00000000" w:rsidP="00000000" w:rsidRDefault="00000000" w:rsidRPr="00000000" w14:paraId="00000004">
      <w:pPr>
        <w:spacing w:after="120" w:lineRule="auto"/>
        <w:jc w:val="both"/>
        <w:rPr>
          <w:rFonts w:ascii="Calibri" w:cs="Calibri" w:eastAsia="Calibri" w:hAnsi="Calibri"/>
          <w:sz w:val="22"/>
          <w:szCs w:val="22"/>
        </w:rPr>
      </w:pPr>
      <w:r w:rsidDel="00000000" w:rsidR="00000000" w:rsidRPr="00000000">
        <w:rPr>
          <w:rtl w:val="0"/>
        </w:rPr>
      </w:r>
    </w:p>
    <w:tbl>
      <w:tblPr>
        <w:tblStyle w:val="Table1"/>
        <w:tblW w:w="89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4321"/>
        <w:tblGridChange w:id="0">
          <w:tblGrid>
            <w:gridCol w:w="4644"/>
            <w:gridCol w:w="4321"/>
          </w:tblGrid>
        </w:tblGridChange>
      </w:tblGrid>
      <w:tr>
        <w:trPr>
          <w:cantSplit w:val="0"/>
          <w:trHeight w:val="240" w:hRule="atLeast"/>
          <w:tblHeader w:val="0"/>
        </w:trPr>
        <w:tc>
          <w:tcPr>
            <w:shd w:fill="a8d08d" w:val="clear"/>
            <w:vAlign w:val="center"/>
          </w:tcPr>
          <w:p w:rsidR="00000000" w:rsidDel="00000000" w:rsidP="00000000" w:rsidRDefault="00000000" w:rsidRPr="00000000" w14:paraId="00000005">
            <w:pPr>
              <w:spacing w:after="60" w:before="60" w:lineRule="auto"/>
              <w:jc w:val="center"/>
              <w:rPr>
                <w:rFonts w:ascii="Calibri" w:cs="Calibri" w:eastAsia="Calibri" w:hAnsi="Calibri"/>
              </w:rPr>
            </w:pPr>
            <w:r w:rsidDel="00000000" w:rsidR="00000000" w:rsidRPr="00000000">
              <w:rPr>
                <w:rFonts w:ascii="Calibri" w:cs="Calibri" w:eastAsia="Calibri" w:hAnsi="Calibri"/>
                <w:rtl w:val="0"/>
              </w:rPr>
              <w:t xml:space="preserve">Wasteful Clinical Process</w:t>
            </w:r>
            <w:r w:rsidDel="00000000" w:rsidR="00000000" w:rsidRPr="00000000">
              <w:rPr>
                <w:rFonts w:ascii="Calibri" w:cs="Calibri" w:eastAsia="Calibri" w:hAnsi="Calibri"/>
                <w:b w:val="1"/>
                <w:vertAlign w:val="superscript"/>
              </w:rPr>
              <w:footnoteReference w:customMarkFollows="0" w:id="0"/>
            </w:r>
            <w:r w:rsidDel="00000000" w:rsidR="00000000" w:rsidRPr="00000000">
              <w:rPr>
                <w:rtl w:val="0"/>
              </w:rPr>
            </w:r>
          </w:p>
        </w:tc>
        <w:tc>
          <w:tcPr>
            <w:shd w:fill="a8d08d" w:val="clear"/>
            <w:vAlign w:val="center"/>
          </w:tcPr>
          <w:p w:rsidR="00000000" w:rsidDel="00000000" w:rsidP="00000000" w:rsidRDefault="00000000" w:rsidRPr="00000000" w14:paraId="00000006">
            <w:pPr>
              <w:spacing w:after="60" w:before="60" w:lineRule="auto"/>
              <w:jc w:val="center"/>
              <w:rPr>
                <w:rFonts w:ascii="Calibri" w:cs="Calibri" w:eastAsia="Calibri" w:hAnsi="Calibri"/>
              </w:rPr>
            </w:pPr>
            <w:r w:rsidDel="00000000" w:rsidR="00000000" w:rsidRPr="00000000">
              <w:rPr>
                <w:rFonts w:ascii="Calibri" w:cs="Calibri" w:eastAsia="Calibri" w:hAnsi="Calibri"/>
                <w:rtl w:val="0"/>
              </w:rPr>
              <w:t xml:space="preserve">Potential relevance to your service</w:t>
            </w:r>
          </w:p>
        </w:tc>
      </w:tr>
      <w:tr>
        <w:trPr>
          <w:cantSplit w:val="0"/>
          <w:trHeight w:val="705" w:hRule="atLeast"/>
          <w:tblHeader w:val="0"/>
        </w:trPr>
        <w:tc>
          <w:tcPr>
            <w:vAlign w:val="center"/>
          </w:tcPr>
          <w:p w:rsidR="00000000" w:rsidDel="00000000" w:rsidP="00000000" w:rsidRDefault="00000000" w:rsidRPr="00000000" w14:paraId="00000007">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Patient record not available /consulted, leading to duplications/omissions</w:t>
            </w:r>
          </w:p>
        </w:tc>
        <w:tc>
          <w:tcPr>
            <w:vAlign w:val="center"/>
          </w:tcPr>
          <w:p w:rsidR="00000000" w:rsidDel="00000000" w:rsidP="00000000" w:rsidRDefault="00000000" w:rsidRPr="00000000" w14:paraId="00000008">
            <w:pPr>
              <w:spacing w:after="60" w:before="60" w:lineRule="auto"/>
              <w:rPr>
                <w:rFonts w:ascii="Calibri" w:cs="Calibri" w:eastAsia="Calibri" w:hAnsi="Calibri"/>
                <w:sz w:val="21"/>
                <w:szCs w:val="21"/>
              </w:rPr>
            </w:pPr>
            <w:r w:rsidDel="00000000" w:rsidR="00000000" w:rsidRPr="00000000">
              <w:rPr>
                <w:rtl w:val="0"/>
              </w:rPr>
            </w:r>
          </w:p>
        </w:tc>
      </w:tr>
      <w:tr>
        <w:trPr>
          <w:cantSplit w:val="0"/>
          <w:trHeight w:val="705" w:hRule="atLeast"/>
          <w:tblHeader w:val="0"/>
        </w:trPr>
        <w:tc>
          <w:tcPr>
            <w:vAlign w:val="center"/>
          </w:tcPr>
          <w:p w:rsidR="00000000" w:rsidDel="00000000" w:rsidP="00000000" w:rsidRDefault="00000000" w:rsidRPr="00000000" w14:paraId="00000009">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Insufficient time invested to enable patients to participate effectively in decisions about their care</w:t>
            </w:r>
          </w:p>
        </w:tc>
        <w:tc>
          <w:tcPr>
            <w:vAlign w:val="center"/>
          </w:tcPr>
          <w:p w:rsidR="00000000" w:rsidDel="00000000" w:rsidP="00000000" w:rsidRDefault="00000000" w:rsidRPr="00000000" w14:paraId="0000000A">
            <w:pPr>
              <w:spacing w:after="60" w:before="60" w:lineRule="auto"/>
              <w:rPr>
                <w:rFonts w:ascii="Calibri" w:cs="Calibri" w:eastAsia="Calibri" w:hAnsi="Calibri"/>
                <w:sz w:val="21"/>
                <w:szCs w:val="21"/>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00B">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Clinical tasks not designed around patient need</w:t>
            </w:r>
          </w:p>
        </w:tc>
        <w:tc>
          <w:tcPr>
            <w:vAlign w:val="center"/>
          </w:tcPr>
          <w:p w:rsidR="00000000" w:rsidDel="00000000" w:rsidP="00000000" w:rsidRDefault="00000000" w:rsidRPr="00000000" w14:paraId="0000000C">
            <w:pPr>
              <w:spacing w:after="60" w:before="60" w:lineRule="auto"/>
              <w:rPr>
                <w:rFonts w:ascii="Calibri" w:cs="Calibri" w:eastAsia="Calibri" w:hAnsi="Calibri"/>
                <w:sz w:val="21"/>
                <w:szCs w:val="21"/>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00D">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Inefficient use of staff time</w:t>
            </w:r>
          </w:p>
        </w:tc>
        <w:tc>
          <w:tcPr>
            <w:vAlign w:val="center"/>
          </w:tcPr>
          <w:p w:rsidR="00000000" w:rsidDel="00000000" w:rsidP="00000000" w:rsidRDefault="00000000" w:rsidRPr="00000000" w14:paraId="0000000E">
            <w:pPr>
              <w:spacing w:after="60" w:before="60" w:lineRule="auto"/>
              <w:rPr>
                <w:rFonts w:ascii="Calibri" w:cs="Calibri" w:eastAsia="Calibri" w:hAnsi="Calibri"/>
                <w:sz w:val="21"/>
                <w:szCs w:val="21"/>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00F">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Inefficient use of patient/carer time</w:t>
            </w:r>
          </w:p>
        </w:tc>
        <w:tc>
          <w:tcPr>
            <w:vAlign w:val="center"/>
          </w:tcPr>
          <w:p w:rsidR="00000000" w:rsidDel="00000000" w:rsidP="00000000" w:rsidRDefault="00000000" w:rsidRPr="00000000" w14:paraId="00000010">
            <w:pPr>
              <w:spacing w:after="60" w:before="60" w:lineRule="auto"/>
              <w:rPr>
                <w:rFonts w:ascii="Calibri" w:cs="Calibri" w:eastAsia="Calibri" w:hAnsi="Calibri"/>
                <w:sz w:val="21"/>
                <w:szCs w:val="21"/>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011">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Information not available for decision-making</w:t>
            </w:r>
          </w:p>
        </w:tc>
        <w:tc>
          <w:tcPr>
            <w:vAlign w:val="center"/>
          </w:tcPr>
          <w:p w:rsidR="00000000" w:rsidDel="00000000" w:rsidP="00000000" w:rsidRDefault="00000000" w:rsidRPr="00000000" w14:paraId="00000012">
            <w:pPr>
              <w:spacing w:after="60" w:before="60" w:lineRule="auto"/>
              <w:rPr>
                <w:rFonts w:ascii="Calibri" w:cs="Calibri" w:eastAsia="Calibri" w:hAnsi="Calibri"/>
                <w:sz w:val="21"/>
                <w:szCs w:val="21"/>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013">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Unnecessary delays to referral</w:t>
            </w:r>
          </w:p>
        </w:tc>
        <w:tc>
          <w:tcPr>
            <w:vAlign w:val="center"/>
          </w:tcPr>
          <w:p w:rsidR="00000000" w:rsidDel="00000000" w:rsidP="00000000" w:rsidRDefault="00000000" w:rsidRPr="00000000" w14:paraId="00000014">
            <w:pPr>
              <w:spacing w:after="60" w:before="60" w:lineRule="auto"/>
              <w:rPr>
                <w:rFonts w:ascii="Calibri" w:cs="Calibri" w:eastAsia="Calibri" w:hAnsi="Calibri"/>
                <w:sz w:val="21"/>
                <w:szCs w:val="21"/>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015">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Unnecessary delays to treatment</w:t>
            </w:r>
          </w:p>
        </w:tc>
        <w:tc>
          <w:tcPr>
            <w:vAlign w:val="center"/>
          </w:tcPr>
          <w:p w:rsidR="00000000" w:rsidDel="00000000" w:rsidP="00000000" w:rsidRDefault="00000000" w:rsidRPr="00000000" w14:paraId="00000016">
            <w:pPr>
              <w:spacing w:after="60" w:before="60" w:lineRule="auto"/>
              <w:rPr>
                <w:rFonts w:ascii="Calibri" w:cs="Calibri" w:eastAsia="Calibri" w:hAnsi="Calibri"/>
                <w:sz w:val="21"/>
                <w:szCs w:val="21"/>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017">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Unnecessary delays to discharge</w:t>
            </w:r>
          </w:p>
        </w:tc>
        <w:tc>
          <w:tcPr>
            <w:vAlign w:val="center"/>
          </w:tcPr>
          <w:p w:rsidR="00000000" w:rsidDel="00000000" w:rsidP="00000000" w:rsidRDefault="00000000" w:rsidRPr="00000000" w14:paraId="00000018">
            <w:pPr>
              <w:spacing w:after="60" w:before="60" w:lineRule="auto"/>
              <w:rPr>
                <w:rFonts w:ascii="Calibri" w:cs="Calibri" w:eastAsia="Calibri" w:hAnsi="Calibri"/>
                <w:sz w:val="21"/>
                <w:szCs w:val="21"/>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019">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Patient and carer travel</w:t>
            </w:r>
          </w:p>
        </w:tc>
        <w:tc>
          <w:tcPr>
            <w:vAlign w:val="center"/>
          </w:tcPr>
          <w:p w:rsidR="00000000" w:rsidDel="00000000" w:rsidP="00000000" w:rsidRDefault="00000000" w:rsidRPr="00000000" w14:paraId="0000001A">
            <w:pPr>
              <w:spacing w:after="60" w:before="60" w:lineRule="auto"/>
              <w:rPr>
                <w:rFonts w:ascii="Calibri" w:cs="Calibri" w:eastAsia="Calibri" w:hAnsi="Calibri"/>
                <w:sz w:val="21"/>
                <w:szCs w:val="21"/>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01B">
            <w:pPr>
              <w:spacing w:after="60" w:before="6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Duplications in information or tests</w:t>
            </w:r>
          </w:p>
        </w:tc>
        <w:tc>
          <w:tcPr>
            <w:vAlign w:val="center"/>
          </w:tcPr>
          <w:p w:rsidR="00000000" w:rsidDel="00000000" w:rsidP="00000000" w:rsidRDefault="00000000" w:rsidRPr="00000000" w14:paraId="0000001C">
            <w:pPr>
              <w:spacing w:after="60" w:before="60"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1440" w:top="1440" w:left="1440" w:right="1440" w:header="708" w:footer="2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a6a6a6"/>
        <w:sz w:val="18"/>
        <w:szCs w:val="18"/>
      </w:rPr>
    </w:pPr>
    <w:r w:rsidDel="00000000" w:rsidR="00000000" w:rsidRPr="00000000">
      <w:rPr>
        <w:rFonts w:ascii="Cambria" w:cs="Cambria" w:eastAsia="Cambria" w:hAnsi="Cambria"/>
        <w:b w:val="1"/>
        <w:i w:val="0"/>
        <w:smallCaps w:val="0"/>
        <w:strike w:val="0"/>
        <w:color w:val="7f7f7f"/>
        <w:sz w:val="20"/>
        <w:szCs w:val="20"/>
        <w:u w:val="none"/>
        <w:shd w:fill="auto" w:val="clear"/>
        <w:vertAlign w:val="baseline"/>
        <w:rtl w:val="0"/>
      </w:rPr>
      <w:t xml:space="preserve">The Centre for Sustain</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a6a6a6"/>
        <w:sz w:val="18"/>
        <w:szCs w:val="18"/>
        <w:u w:val="none"/>
        <w:shd w:fill="auto" w:val="clear"/>
        <w:vertAlign w:val="baseline"/>
      </w:rPr>
    </w:pPr>
    <w:r w:rsidDel="00000000" w:rsidR="00000000" w:rsidRPr="00000000">
      <w:rPr>
        <w:rFonts w:ascii="Cambria" w:cs="Cambria" w:eastAsia="Cambria" w:hAnsi="Cambria"/>
        <w:b w:val="1"/>
        <w:i w:val="0"/>
        <w:smallCaps w:val="0"/>
        <w:strike w:val="0"/>
        <w:color w:val="7f7f7f"/>
        <w:sz w:val="20"/>
        <w:szCs w:val="20"/>
        <w:u w:val="none"/>
        <w:shd w:fill="auto" w:val="clear"/>
        <w:vertAlign w:val="baseline"/>
        <w:rtl w:val="0"/>
      </w:rPr>
      <w:t xml:space="preserve">able Healthcare</w:t>
    </w:r>
    <w:r w:rsidDel="00000000" w:rsidR="00000000" w:rsidRPr="00000000">
      <w:rPr>
        <w:rFonts w:ascii="Cambria" w:cs="Cambria" w:eastAsia="Cambria" w:hAnsi="Cambria"/>
        <w:b w:val="1"/>
        <w:i w:val="0"/>
        <w:smallCaps w:val="0"/>
        <w:strike w:val="0"/>
        <w:color w:val="7f7f7f"/>
        <w:sz w:val="18"/>
        <w:szCs w:val="1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a6a6a6"/>
        <w:sz w:val="18"/>
        <w:szCs w:val="18"/>
        <w:u w:val="none"/>
        <w:shd w:fill="auto" w:val="clear"/>
        <w:vertAlign w:val="baseline"/>
        <w:rtl w:val="0"/>
      </w:rPr>
      <w:t xml:space="preserve">Cranbrook House 287-291 Banbury Road Oxford OX2 7JQ</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mbria" w:cs="Cambria" w:eastAsia="Cambria" w:hAnsi="Cambria"/>
        <w:b w:val="0"/>
        <w:i w:val="0"/>
        <w:smallCaps w:val="0"/>
        <w:strike w:val="0"/>
        <w:color w:val="a6a6a6"/>
        <w:sz w:val="18"/>
        <w:szCs w:val="18"/>
        <w:u w:val="none"/>
        <w:shd w:fill="auto" w:val="clear"/>
        <w:vertAlign w:val="baseline"/>
      </w:rPr>
    </w:pPr>
    <w:r w:rsidDel="00000000" w:rsidR="00000000" w:rsidRPr="00000000">
      <w:rPr>
        <w:rFonts w:ascii="Cambria" w:cs="Cambria" w:eastAsia="Cambria" w:hAnsi="Cambria"/>
        <w:b w:val="0"/>
        <w:i w:val="0"/>
        <w:smallCaps w:val="0"/>
        <w:strike w:val="0"/>
        <w:color w:val="a6a6a6"/>
        <w:sz w:val="18"/>
        <w:szCs w:val="1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7f7f7f"/>
        <w:sz w:val="18"/>
        <w:szCs w:val="18"/>
        <w:u w:val="none"/>
        <w:shd w:fill="auto" w:val="clear"/>
        <w:vertAlign w:val="baseline"/>
        <w:rtl w:val="0"/>
      </w:rPr>
      <w:t xml:space="preserve">t</w:t>
    </w:r>
    <w:r w:rsidDel="00000000" w:rsidR="00000000" w:rsidRPr="00000000">
      <w:rPr>
        <w:rFonts w:ascii="Cambria" w:cs="Cambria" w:eastAsia="Cambria" w:hAnsi="Cambria"/>
        <w:b w:val="0"/>
        <w:i w:val="0"/>
        <w:smallCaps w:val="0"/>
        <w:strike w:val="0"/>
        <w:color w:val="a6a6a6"/>
        <w:sz w:val="18"/>
        <w:szCs w:val="18"/>
        <w:u w:val="none"/>
        <w:shd w:fill="auto" w:val="clear"/>
        <w:vertAlign w:val="baseline"/>
        <w:rtl w:val="0"/>
      </w:rPr>
      <w:t xml:space="preserve"> +44 (0) 1865 515811</w:t>
    </w:r>
    <w:r w:rsidDel="00000000" w:rsidR="00000000" w:rsidRPr="00000000">
      <w:rPr>
        <w:rFonts w:ascii="Cambria" w:cs="Cambria" w:eastAsia="Cambria" w:hAnsi="Cambria"/>
        <w:b w:val="1"/>
        <w:i w:val="0"/>
        <w:smallCaps w:val="0"/>
        <w:strike w:val="0"/>
        <w:color w:val="7f7f7f"/>
        <w:sz w:val="18"/>
        <w:szCs w:val="18"/>
        <w:u w:val="none"/>
        <w:shd w:fill="auto" w:val="clear"/>
        <w:vertAlign w:val="baseline"/>
        <w:rtl w:val="0"/>
      </w:rPr>
      <w:t xml:space="preserve"> email: </w:t>
    </w:r>
    <w:r w:rsidDel="00000000" w:rsidR="00000000" w:rsidRPr="00000000">
      <w:rPr>
        <w:rFonts w:ascii="Cambria" w:cs="Cambria" w:eastAsia="Cambria" w:hAnsi="Cambria"/>
        <w:b w:val="0"/>
        <w:i w:val="0"/>
        <w:smallCaps w:val="0"/>
        <w:strike w:val="0"/>
        <w:color w:val="7f7f7f"/>
        <w:sz w:val="18"/>
        <w:szCs w:val="18"/>
        <w:u w:val="none"/>
        <w:shd w:fill="auto" w:val="clear"/>
        <w:vertAlign w:val="baseline"/>
        <w:rtl w:val="0"/>
      </w:rPr>
      <w:t xml:space="preserve">info@sustainablehealthcare.org.uk</w:t>
    </w:r>
    <w:r w:rsidDel="00000000" w:rsidR="00000000" w:rsidRPr="00000000">
      <w:rPr>
        <w:rFonts w:ascii="Cambria" w:cs="Cambria" w:eastAsia="Cambria" w:hAnsi="Cambria"/>
        <w:b w:val="0"/>
        <w:i w:val="0"/>
        <w:smallCaps w:val="0"/>
        <w:strike w:val="0"/>
        <w:color w:val="a6a6a6"/>
        <w:sz w:val="18"/>
        <w:szCs w:val="1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7f7f7f"/>
        <w:sz w:val="18"/>
        <w:szCs w:val="18"/>
        <w:u w:val="none"/>
        <w:shd w:fill="auto" w:val="clear"/>
        <w:vertAlign w:val="baseline"/>
        <w:rtl w:val="0"/>
      </w:rPr>
      <w:t xml:space="preserve">www</w:t>
    </w:r>
    <w:r w:rsidDel="00000000" w:rsidR="00000000" w:rsidRPr="00000000">
      <w:rPr>
        <w:rFonts w:ascii="Cambria" w:cs="Cambria" w:eastAsia="Cambria" w:hAnsi="Cambria"/>
        <w:b w:val="0"/>
        <w:i w:val="0"/>
        <w:smallCaps w:val="0"/>
        <w:strike w:val="0"/>
        <w:color w:val="7f7f7f"/>
        <w:sz w:val="18"/>
        <w:szCs w:val="18"/>
        <w:u w:val="none"/>
        <w:shd w:fill="auto" w:val="clear"/>
        <w:vertAlign w:val="baseline"/>
        <w:rtl w:val="0"/>
      </w:rPr>
      <w:t xml:space="preserve">.sustainablehealthcare.org.uk</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mbria" w:cs="Cambria" w:eastAsia="Cambria" w:hAnsi="Cambria"/>
        <w:b w:val="0"/>
        <w:i w:val="0"/>
        <w:smallCaps w:val="0"/>
        <w:strike w:val="0"/>
        <w:color w:val="a6a6a6"/>
        <w:sz w:val="18"/>
        <w:szCs w:val="18"/>
        <w:u w:val="none"/>
        <w:shd w:fill="auto" w:val="clear"/>
        <w:vertAlign w:val="baseline"/>
      </w:rPr>
    </w:pPr>
    <w:r w:rsidDel="00000000" w:rsidR="00000000" w:rsidRPr="00000000">
      <w:rPr>
        <w:rFonts w:ascii="Cambria" w:cs="Cambria" w:eastAsia="Cambria" w:hAnsi="Cambria"/>
        <w:b w:val="0"/>
        <w:i w:val="0"/>
        <w:smallCaps w:val="0"/>
        <w:strike w:val="0"/>
        <w:color w:val="a6a6a6"/>
        <w:sz w:val="18"/>
        <w:szCs w:val="18"/>
        <w:u w:val="none"/>
        <w:shd w:fill="auto" w:val="clear"/>
        <w:vertAlign w:val="baseline"/>
        <w:rtl w:val="0"/>
      </w:rPr>
      <w:t xml:space="preserve">The Centre for Sustainable Healthcare is registered as a company limited by guarantee in England &amp; Wales No. 7450026 and as a charity No 1143189. Registered address 8 King Edward Street, Oxford OX1 4HL.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Source:</w:t>
      </w:r>
      <w:r w:rsidDel="00000000" w:rsidR="00000000" w:rsidRPr="00000000">
        <w:rPr>
          <w:rFonts w:ascii="Calibri" w:cs="Calibri" w:eastAsia="Calibri" w:hAnsi="Calibri"/>
          <w:b w:val="0"/>
          <w:i w:val="0"/>
          <w:smallCaps w:val="0"/>
          <w:strike w:val="0"/>
          <w:color w:val="181817"/>
          <w:sz w:val="20"/>
          <w:szCs w:val="20"/>
          <w:u w:val="none"/>
          <w:shd w:fill="auto" w:val="clear"/>
          <w:vertAlign w:val="baseline"/>
          <w:rtl w:val="0"/>
        </w:rPr>
        <w:t xml:space="preserve"> “Promoting Value, Protecting Resources” AOMRC (2014)</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962849" cy="962849"/>
          <wp:effectExtent b="0" l="0" r="0" t="0"/>
          <wp:docPr descr="A close up of a sign&#10;&#10;Description automatically generated" id="5" name="image1.png"/>
          <a:graphic>
            <a:graphicData uri="http://schemas.openxmlformats.org/drawingml/2006/picture">
              <pic:pic>
                <pic:nvPicPr>
                  <pic:cNvPr descr="A close up of a sign&#10;&#10;Description automatically generated" id="0" name="image1.png"/>
                  <pic:cNvPicPr preferRelativeResize="0"/>
                </pic:nvPicPr>
                <pic:blipFill>
                  <a:blip r:embed="rId1"/>
                  <a:srcRect b="0" l="0" r="0" t="0"/>
                  <a:stretch>
                    <a:fillRect/>
                  </a:stretch>
                </pic:blipFill>
                <pic:spPr>
                  <a:xfrm>
                    <a:off x="0" y="0"/>
                    <a:ext cx="962849" cy="96284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11802"/>
    <w:pPr>
      <w:tabs>
        <w:tab w:val="center" w:pos="4680"/>
        <w:tab w:val="right" w:pos="9360"/>
      </w:tabs>
    </w:pPr>
  </w:style>
  <w:style w:type="character" w:styleId="HeaderChar" w:customStyle="1">
    <w:name w:val="Header Char"/>
    <w:basedOn w:val="DefaultParagraphFont"/>
    <w:link w:val="Header"/>
    <w:uiPriority w:val="99"/>
    <w:rsid w:val="00B11802"/>
  </w:style>
  <w:style w:type="paragraph" w:styleId="Footer">
    <w:name w:val="footer"/>
    <w:basedOn w:val="Normal"/>
    <w:link w:val="FooterChar"/>
    <w:unhideWhenUsed w:val="1"/>
    <w:rsid w:val="00B11802"/>
    <w:pPr>
      <w:tabs>
        <w:tab w:val="center" w:pos="4680"/>
        <w:tab w:val="right" w:pos="9360"/>
      </w:tabs>
    </w:pPr>
  </w:style>
  <w:style w:type="character" w:styleId="FooterChar" w:customStyle="1">
    <w:name w:val="Footer Char"/>
    <w:basedOn w:val="DefaultParagraphFont"/>
    <w:link w:val="Footer"/>
    <w:uiPriority w:val="99"/>
    <w:rsid w:val="00B11802"/>
  </w:style>
  <w:style w:type="character" w:styleId="Hyperlink">
    <w:name w:val="Hyperlink"/>
    <w:uiPriority w:val="99"/>
    <w:rsid w:val="00B11802"/>
    <w:rPr>
      <w:color w:val="0000ff"/>
      <w:u w:val="single"/>
    </w:rPr>
  </w:style>
  <w:style w:type="paragraph" w:styleId="Pa0" w:customStyle="1">
    <w:name w:val="Pa0"/>
    <w:basedOn w:val="Normal"/>
    <w:next w:val="Normal"/>
    <w:rsid w:val="00B11802"/>
    <w:pPr>
      <w:autoSpaceDE w:val="0"/>
      <w:autoSpaceDN w:val="0"/>
      <w:adjustRightInd w:val="0"/>
      <w:spacing w:line="241" w:lineRule="atLeast"/>
    </w:pPr>
    <w:rPr>
      <w:rFonts w:ascii="Trajan Pro" w:cs="Times New Roman" w:eastAsia="Calibri" w:hAnsi="Trajan Pro"/>
      <w:lang w:eastAsia="en-GB"/>
    </w:rPr>
  </w:style>
  <w:style w:type="character" w:styleId="A1" w:customStyle="1">
    <w:name w:val="A1"/>
    <w:uiPriority w:val="99"/>
    <w:rsid w:val="00B11802"/>
    <w:rPr>
      <w:rFonts w:ascii="GillSans Light" w:cs="GillSans Light" w:hAnsi="GillSans Light"/>
      <w:color w:val="000000"/>
      <w:sz w:val="20"/>
      <w:szCs w:val="20"/>
    </w:rPr>
  </w:style>
  <w:style w:type="paragraph" w:styleId="Pa1" w:customStyle="1">
    <w:name w:val="Pa1"/>
    <w:basedOn w:val="Normal"/>
    <w:next w:val="Normal"/>
    <w:rsid w:val="00B11802"/>
    <w:pPr>
      <w:autoSpaceDE w:val="0"/>
      <w:autoSpaceDN w:val="0"/>
      <w:adjustRightInd w:val="0"/>
      <w:spacing w:line="241" w:lineRule="atLeast"/>
    </w:pPr>
    <w:rPr>
      <w:rFonts w:ascii="Trajan Pro" w:cs="Times New Roman" w:eastAsia="Calibri" w:hAnsi="Trajan Pro"/>
      <w:lang w:eastAsia="en-GB"/>
    </w:rPr>
  </w:style>
  <w:style w:type="paragraph" w:styleId="BalloonText">
    <w:name w:val="Balloon Text"/>
    <w:basedOn w:val="Normal"/>
    <w:link w:val="BalloonTextChar"/>
    <w:uiPriority w:val="99"/>
    <w:semiHidden w:val="1"/>
    <w:unhideWhenUsed w:val="1"/>
    <w:rsid w:val="006142F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42FD"/>
    <w:rPr>
      <w:rFonts w:ascii="Lucida Grande" w:cs="Lucida Grande" w:hAnsi="Lucida Grande"/>
      <w:sz w:val="18"/>
      <w:szCs w:val="18"/>
    </w:rPr>
  </w:style>
  <w:style w:type="paragraph" w:styleId="Body" w:customStyle="1">
    <w:name w:val="Body"/>
    <w:rsid w:val="0062665F"/>
    <w:rPr>
      <w:rFonts w:ascii="Helvetica" w:cs="Times New Roman" w:eastAsia="ヒラギノ角ゴ Pro W3" w:hAnsi="Helvetica"/>
      <w:color w:val="000000"/>
      <w:szCs w:val="20"/>
      <w:lang w:val="en-US"/>
    </w:rPr>
  </w:style>
  <w:style w:type="table" w:styleId="TableGrid">
    <w:name w:val="Table Grid"/>
    <w:basedOn w:val="TableNormal"/>
    <w:uiPriority w:val="39"/>
    <w:rsid w:val="0062665F"/>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2665F"/>
    <w:pPr>
      <w:ind w:left="720"/>
      <w:contextualSpacing w:val="1"/>
    </w:pPr>
    <w:rPr>
      <w:rFonts w:ascii="Verdana" w:hAnsi="Verdana"/>
      <w:sz w:val="20"/>
      <w:szCs w:val="22"/>
    </w:rPr>
  </w:style>
  <w:style w:type="paragraph" w:styleId="NormalWeb">
    <w:name w:val="Normal (Web)"/>
    <w:basedOn w:val="Normal"/>
    <w:uiPriority w:val="99"/>
    <w:unhideWhenUsed w:val="1"/>
    <w:rsid w:val="0062665F"/>
    <w:pPr>
      <w:spacing w:after="100" w:afterAutospacing="1" w:before="100" w:beforeAutospacing="1"/>
    </w:pPr>
    <w:rPr>
      <w:rFonts w:ascii="Times New Roman" w:cs="Times New Roman" w:eastAsia="Times New Roman" w:hAnsi="Times New Roman"/>
      <w:lang w:eastAsia="en-GB"/>
    </w:rPr>
  </w:style>
  <w:style w:type="character" w:styleId="CommentReference">
    <w:name w:val="annotation reference"/>
    <w:basedOn w:val="DefaultParagraphFont"/>
    <w:uiPriority w:val="99"/>
    <w:semiHidden w:val="1"/>
    <w:unhideWhenUsed w:val="1"/>
    <w:rsid w:val="00BF6AAC"/>
    <w:rPr>
      <w:sz w:val="18"/>
      <w:szCs w:val="18"/>
    </w:rPr>
  </w:style>
  <w:style w:type="paragraph" w:styleId="CommentText">
    <w:name w:val="annotation text"/>
    <w:basedOn w:val="Normal"/>
    <w:link w:val="CommentTextChar"/>
    <w:uiPriority w:val="99"/>
    <w:semiHidden w:val="1"/>
    <w:unhideWhenUsed w:val="1"/>
    <w:rsid w:val="00BF6AAC"/>
  </w:style>
  <w:style w:type="character" w:styleId="CommentTextChar" w:customStyle="1">
    <w:name w:val="Comment Text Char"/>
    <w:basedOn w:val="DefaultParagraphFont"/>
    <w:link w:val="CommentText"/>
    <w:uiPriority w:val="99"/>
    <w:semiHidden w:val="1"/>
    <w:rsid w:val="00BF6AAC"/>
  </w:style>
  <w:style w:type="paragraph" w:styleId="CommentSubject">
    <w:name w:val="annotation subject"/>
    <w:basedOn w:val="CommentText"/>
    <w:next w:val="CommentText"/>
    <w:link w:val="CommentSubjectChar"/>
    <w:uiPriority w:val="99"/>
    <w:semiHidden w:val="1"/>
    <w:unhideWhenUsed w:val="1"/>
    <w:rsid w:val="00BF6AAC"/>
    <w:rPr>
      <w:b w:val="1"/>
      <w:bCs w:val="1"/>
      <w:sz w:val="20"/>
      <w:szCs w:val="20"/>
    </w:rPr>
  </w:style>
  <w:style w:type="character" w:styleId="CommentSubjectChar" w:customStyle="1">
    <w:name w:val="Comment Subject Char"/>
    <w:basedOn w:val="CommentTextChar"/>
    <w:link w:val="CommentSubject"/>
    <w:uiPriority w:val="99"/>
    <w:semiHidden w:val="1"/>
    <w:rsid w:val="00BF6AAC"/>
    <w:rPr>
      <w:b w:val="1"/>
      <w:bCs w:val="1"/>
      <w:sz w:val="20"/>
      <w:szCs w:val="20"/>
    </w:rPr>
  </w:style>
  <w:style w:type="character" w:styleId="FollowedHyperlink">
    <w:name w:val="FollowedHyperlink"/>
    <w:basedOn w:val="DefaultParagraphFont"/>
    <w:uiPriority w:val="99"/>
    <w:semiHidden w:val="1"/>
    <w:unhideWhenUsed w:val="1"/>
    <w:rsid w:val="00DF22D5"/>
    <w:rPr>
      <w:color w:val="954f72" w:themeColor="followedHyperlink"/>
      <w:u w:val="single"/>
    </w:rPr>
  </w:style>
  <w:style w:type="paragraph" w:styleId="Revision">
    <w:name w:val="Revision"/>
    <w:hidden w:val="1"/>
    <w:uiPriority w:val="99"/>
    <w:semiHidden w:val="1"/>
    <w:rsid w:val="002A1537"/>
  </w:style>
  <w:style w:type="paragraph" w:styleId="Default" w:customStyle="1">
    <w:name w:val="Default"/>
    <w:rsid w:val="00345284"/>
    <w:pPr>
      <w:autoSpaceDE w:val="0"/>
      <w:autoSpaceDN w:val="0"/>
      <w:adjustRightInd w:val="0"/>
    </w:pPr>
    <w:rPr>
      <w:rFonts w:ascii="Trajan Pro" w:cs="Trajan Pro" w:eastAsia="Calibri" w:hAnsi="Trajan Pro"/>
      <w:color w:val="000000"/>
    </w:rPr>
  </w:style>
  <w:style w:type="character" w:styleId="A2" w:customStyle="1">
    <w:name w:val="A2"/>
    <w:uiPriority w:val="99"/>
    <w:rsid w:val="00345284"/>
    <w:rPr>
      <w:rFonts w:ascii="GillSans Light" w:cs="GillSans Light" w:hAnsi="GillSans Light"/>
      <w:color w:val="000000"/>
      <w:sz w:val="16"/>
      <w:szCs w:val="16"/>
    </w:rPr>
  </w:style>
  <w:style w:type="paragraph" w:styleId="FootnoteText">
    <w:name w:val="footnote text"/>
    <w:basedOn w:val="Normal"/>
    <w:link w:val="FootnoteTextChar"/>
    <w:uiPriority w:val="99"/>
    <w:unhideWhenUsed w:val="1"/>
    <w:rsid w:val="00431684"/>
  </w:style>
  <w:style w:type="character" w:styleId="FootnoteTextChar" w:customStyle="1">
    <w:name w:val="Footnote Text Char"/>
    <w:basedOn w:val="DefaultParagraphFont"/>
    <w:link w:val="FootnoteText"/>
    <w:uiPriority w:val="99"/>
    <w:rsid w:val="00431684"/>
  </w:style>
  <w:style w:type="character" w:styleId="FootnoteReference">
    <w:name w:val="footnote reference"/>
    <w:basedOn w:val="DefaultParagraphFont"/>
    <w:uiPriority w:val="99"/>
    <w:unhideWhenUsed w:val="1"/>
    <w:rsid w:val="00431684"/>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eCSV9SODz0zHy1bMBYZXdjpnA==">AMUW2mUSacXS46GQHCiT8EscU/YA3TWsV3XApI9H5q3GyuNYn00pFvDyvhMRFB+L1U/C1b3A99ffq9oV+iW8qqX6/J2hDd1QZKrXLRH0uRVWHPypQlo9t90=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2022-01-26T08:18:00Z</dcterms:created>
  <dc:creator>Siobhan Parslow-Williams</dc:creator>
</cp:coreProperties>
</file>