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7.5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814070" cy="81407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4070" cy="8140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25048828125" w:right="0" w:firstLine="0"/>
        <w:jc w:val="left"/>
        <w:rPr>
          <w:rFonts w:ascii="Calibri" w:cs="Calibri" w:eastAsia="Calibri" w:hAnsi="Calibri"/>
          <w:color w:val="00b4c6"/>
          <w:sz w:val="39.84000015258789"/>
          <w:szCs w:val="39.84000015258789"/>
        </w:rPr>
      </w:pPr>
      <w:r w:rsidDel="00000000" w:rsidR="00000000" w:rsidRPr="00000000">
        <w:rPr>
          <w:rFonts w:ascii="Calibri" w:cs="Calibri" w:eastAsia="Calibri" w:hAnsi="Calibri"/>
          <w:b w:val="0"/>
          <w:i w:val="0"/>
          <w:smallCaps w:val="0"/>
          <w:strike w:val="0"/>
          <w:color w:val="00b4c6"/>
          <w:sz w:val="39.84000015258789"/>
          <w:szCs w:val="39.84000015258789"/>
          <w:u w:val="none"/>
          <w:shd w:fill="auto" w:val="clear"/>
          <w:vertAlign w:val="baseline"/>
          <w:rtl w:val="0"/>
        </w:rPr>
        <w:t xml:space="preserve">Recognising Resource Use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250488281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You can use this table to review where different categories of resource use are used in your system – and to consider opportunities to reduce these.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591796875" w:line="240" w:lineRule="auto"/>
        <w:ind w:left="1439.517669677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Table 1. Resource use </w:t>
      </w:r>
    </w:p>
    <w:tbl>
      <w:tblPr>
        <w:tblStyle w:val="Table1"/>
        <w:tblW w:w="9390.0" w:type="dxa"/>
        <w:jc w:val="left"/>
        <w:tblInd w:w="1047.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3270"/>
        <w:gridCol w:w="2790"/>
        <w:gridCol w:w="2190"/>
        <w:tblGridChange w:id="0">
          <w:tblGrid>
            <w:gridCol w:w="1140"/>
            <w:gridCol w:w="3270"/>
            <w:gridCol w:w="2790"/>
            <w:gridCol w:w="2190"/>
          </w:tblGrid>
        </w:tblGridChange>
      </w:tblGrid>
      <w:tr>
        <w:trPr>
          <w:cantSplit w:val="0"/>
          <w:trHeight w:val="12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188789367676" w:lineRule="auto"/>
              <w:ind w:left="266.0888671875" w:right="194.6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steps in your  process use these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708984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Could any of this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751953125" w:line="240" w:lineRule="auto"/>
              <w:ind w:left="0" w:right="317.442016601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resource use be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avoided/improved? </w:t>
            </w:r>
          </w:p>
        </w:tc>
      </w:tr>
      <w:tr>
        <w:trPr>
          <w:cantSplit w:val="0"/>
          <w:trHeight w:val="648.00048828125" w:hRule="atLeast"/>
          <w:tblHeader w:val="0"/>
        </w:trPr>
        <w:tc>
          <w:tcPr>
            <w:vMerge w:val="restart"/>
            <w:shd w:fill="a8d08d"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890625" w:firstLine="0"/>
              <w:jc w:val="righ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Medical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81005859375" w:line="240" w:lineRule="auto"/>
              <w:ind w:left="0" w:right="0" w:firstLine="0"/>
              <w:jc w:val="center"/>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supplies</w:t>
            </w:r>
          </w:p>
        </w:tc>
        <w:tc>
          <w:tcPr>
            <w:shd w:fill="a8d08d"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29125976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Medications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647.998046875" w:hRule="atLeast"/>
          <w:tblHeader w:val="0"/>
        </w:trPr>
        <w:tc>
          <w:tcPr>
            <w:vMerge w:val="continue"/>
            <w:shd w:fill="a8d08d"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8d08d"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54370117187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Anaesthetic gases/ nitrous oxide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20.00244140625" w:hRule="atLeast"/>
          <w:tblHeader w:val="0"/>
        </w:trPr>
        <w:tc>
          <w:tcPr>
            <w:vMerge w:val="continue"/>
            <w:shd w:fill="a8d08d"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8d08d"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29125976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Propellant (MDI) inhalers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68000030517578"/>
                <w:szCs w:val="19.6800003051757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68000030517578"/>
                <w:szCs w:val="19.68000030517578"/>
              </w:rPr>
            </w:pPr>
            <w:r w:rsidDel="00000000" w:rsidR="00000000" w:rsidRPr="00000000">
              <w:rPr>
                <w:rtl w:val="0"/>
              </w:rPr>
            </w:r>
          </w:p>
        </w:tc>
      </w:tr>
      <w:tr>
        <w:trPr>
          <w:cantSplit w:val="0"/>
          <w:trHeight w:val="720" w:hRule="atLeast"/>
          <w:tblHeader w:val="0"/>
        </w:trPr>
        <w:tc>
          <w:tcPr>
            <w:vMerge w:val="continue"/>
            <w:shd w:fill="a8d08d"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8d08d"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29125976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Medical &amp; surgical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68000030517578"/>
                <w:szCs w:val="19.68000030517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647.9998779296875" w:hRule="atLeast"/>
          <w:tblHeader w:val="0"/>
        </w:trPr>
        <w:tc>
          <w:tcPr>
            <w:vMerge w:val="continue"/>
            <w:shd w:fill="a8d08d"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8d08d"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29125976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Dressings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652.7996826171875" w:hRule="atLeast"/>
          <w:tblHeader w:val="0"/>
        </w:trPr>
        <w:tc>
          <w:tcPr>
            <w:vMerge w:val="continue"/>
            <w:shd w:fill="a8d08d"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8d08d"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0498886108398" w:lineRule="auto"/>
              <w:ind w:left="154.053955078125" w:right="122.3419189453125" w:firstLine="7.6751708984375"/>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Diagnostic imaging &amp; radiotherapy  equipment &amp;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657.5994873046875" w:hRule="atLeast"/>
          <w:tblHeader w:val="0"/>
        </w:trPr>
        <w:tc>
          <w:tcPr>
            <w:vMerge w:val="continue"/>
            <w:shd w:fill="a8d08d"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8d08d"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444702148437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Other,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68000030517578"/>
                <w:szCs w:val="19.68000030517578"/>
              </w:rPr>
            </w:pPr>
            <w:r w:rsidDel="00000000" w:rsidR="00000000" w:rsidRPr="00000000">
              <w:rPr>
                <w:rtl w:val="0"/>
              </w:rPr>
            </w:r>
          </w:p>
        </w:tc>
      </w:tr>
      <w:tr>
        <w:trPr>
          <w:cantSplit w:val="0"/>
          <w:trHeight w:val="657.6007080078125" w:hRule="atLeast"/>
          <w:tblHeader w:val="0"/>
        </w:trPr>
        <w:tc>
          <w:tcPr>
            <w:vMerge w:val="restart"/>
            <w:shd w:fill="d5a6bd"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Non-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87109375" w:line="240" w:lineRule="auto"/>
              <w:ind w:left="0" w:right="193.8409423828125" w:firstLine="0"/>
              <w:jc w:val="righ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d5a6bd" w:val="clear"/>
                <w:vertAlign w:val="baseline"/>
                <w:rtl w:val="0"/>
              </w:rPr>
              <w:t xml:space="preserve">medical</w:t>
            </w:r>
            <w:r w:rsidDel="00000000" w:rsidR="00000000" w:rsidRPr="00000000">
              <w:rPr>
                <w:rFonts w:ascii="Calibri" w:cs="Calibri" w:eastAsia="Calibri" w:hAnsi="Calibri"/>
                <w:b w:val="0"/>
                <w:i w:val="0"/>
                <w:smallCaps w:val="0"/>
                <w:strike w:val="0"/>
                <w:color w:val="000000"/>
                <w:sz w:val="21.600000381469727"/>
                <w:szCs w:val="21.600000381469727"/>
                <w:u w:val="none"/>
                <w:shd w:fill="fbe4d5"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8515625" w:line="240" w:lineRule="auto"/>
              <w:ind w:left="0" w:right="0" w:firstLine="0"/>
              <w:jc w:val="center"/>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supplies</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8151664733887" w:lineRule="auto"/>
              <w:ind w:left="123.85711669921875" w:right="498.1976318359375" w:firstLine="0.787353515625"/>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Office equipment, telecomms,  computers &amp; stationery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0.399169921875" w:hRule="atLeast"/>
          <w:tblHeader w:val="0"/>
        </w:trPr>
        <w:tc>
          <w:tcPr>
            <w:vMerge w:val="continue"/>
            <w:shd w:fill="d5a6bd"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d5a6bd"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29125976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Furniture fittings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0.4010009765625" w:hRule="atLeast"/>
          <w:tblHeader w:val="0"/>
        </w:trPr>
        <w:tc>
          <w:tcPr>
            <w:vMerge w:val="continue"/>
            <w:shd w:fill="d5a6bd"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d5a6bd"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29125976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Provisions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5.1992797851562" w:hRule="atLeast"/>
          <w:tblHeader w:val="0"/>
        </w:trPr>
        <w:tc>
          <w:tcPr>
            <w:vMerge w:val="restart"/>
            <w:shd w:fill="a4c2f4"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7979431152344" w:firstLine="0"/>
              <w:jc w:val="righ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Other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458251953125" w:line="240" w:lineRule="auto"/>
              <w:ind w:left="0" w:right="0" w:firstLine="0"/>
              <w:jc w:val="center"/>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Resources</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58178710937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Waste disposal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710.4000854492188" w:hRule="atLeast"/>
          <w:tblHeader w:val="0"/>
        </w:trPr>
        <w:tc>
          <w:tcPr>
            <w:vMerge w:val="continue"/>
            <w:shd w:fill="a4c2f4"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4c2f4"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070190429687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Energy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710.4000854492188" w:hRule="atLeast"/>
          <w:tblHeader w:val="0"/>
        </w:trPr>
        <w:tc>
          <w:tcPr>
            <w:vMerge w:val="continue"/>
            <w:shd w:fill="a4c2f4"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4c2f4"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58178710937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Water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710.4000854492188" w:hRule="atLeast"/>
          <w:tblHeader w:val="0"/>
        </w:trPr>
        <w:tc>
          <w:tcPr>
            <w:vMerge w:val="restart"/>
            <w:shd w:fill="b4a7d6"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Travel</w:t>
            </w:r>
          </w:p>
        </w:tc>
        <w:tc>
          <w:tcPr>
            <w:shd w:fill="b4a7d6"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86181640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Staff 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68000030517578"/>
                <w:szCs w:val="19.6800003051757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68000030517578"/>
                <w:szCs w:val="19.68000030517578"/>
              </w:rPr>
            </w:pPr>
            <w:r w:rsidDel="00000000" w:rsidR="00000000" w:rsidRPr="00000000">
              <w:rPr>
                <w:rtl w:val="0"/>
              </w:rPr>
            </w:r>
          </w:p>
        </w:tc>
      </w:tr>
      <w:tr>
        <w:trPr>
          <w:cantSplit w:val="0"/>
          <w:trHeight w:val="710.3993225097656" w:hRule="atLeast"/>
          <w:tblHeader w:val="0"/>
        </w:trPr>
        <w:tc>
          <w:tcPr>
            <w:vMerge w:val="continue"/>
            <w:shd w:fill="b4a7d6"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b4a7d6"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29125976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Patient and carer 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68000030517578"/>
                <w:szCs w:val="19.68000030517578"/>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40771484375" w:line="232.33968257904053" w:lineRule="auto"/>
        <w:ind w:left="1450.3848266601562" w:right="529.64111328125" w:hanging="7.104034423828125"/>
        <w:jc w:val="left"/>
        <w:rPr>
          <w:rFonts w:ascii="Cambria" w:cs="Cambria" w:eastAsia="Cambria" w:hAnsi="Cambria"/>
          <w:b w:val="0"/>
          <w:i w:val="0"/>
          <w:smallCaps w:val="0"/>
          <w:strike w:val="0"/>
          <w:color w:val="a6a6a6"/>
          <w:sz w:val="17.760000228881836"/>
          <w:szCs w:val="17.760000228881836"/>
          <w:u w:val="none"/>
          <w:shd w:fill="auto" w:val="clear"/>
          <w:vertAlign w:val="baseline"/>
        </w:rPr>
      </w:pPr>
      <w:r w:rsidDel="00000000" w:rsidR="00000000" w:rsidRPr="00000000">
        <w:rPr>
          <w:rFonts w:ascii="Cambria" w:cs="Cambria" w:eastAsia="Cambria" w:hAnsi="Cambria"/>
          <w:color w:val="a6a6a6"/>
          <w:sz w:val="17.760000228881836"/>
          <w:szCs w:val="17.760000228881836"/>
          <w:vertAlign w:val="superscript"/>
        </w:rPr>
        <w:footnoteReference w:customMarkFollows="0" w:id="0"/>
      </w:r>
      <w:r w:rsidDel="00000000" w:rsidR="00000000" w:rsidRPr="00000000">
        <w:rPr>
          <w:rtl w:val="0"/>
        </w:rPr>
      </w:r>
    </w:p>
    <w:tbl>
      <w:tblPr>
        <w:tblStyle w:val="Table2"/>
        <w:tblW w:w="9004.199829101562" w:type="dxa"/>
        <w:jc w:val="left"/>
        <w:tblInd w:w="142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3030"/>
        <w:gridCol w:w="2409.6002197265625"/>
        <w:gridCol w:w="2289.599609375"/>
        <w:tblGridChange w:id="0">
          <w:tblGrid>
            <w:gridCol w:w="1275"/>
            <w:gridCol w:w="3030"/>
            <w:gridCol w:w="2409.6002197265625"/>
            <w:gridCol w:w="2289.599609375"/>
          </w:tblGrid>
        </w:tblGridChange>
      </w:tblGrid>
      <w:tr>
        <w:trPr>
          <w:cantSplit w:val="0"/>
          <w:trHeight w:val="710.401611328125" w:hRule="atLeast"/>
          <w:tblHeader w:val="0"/>
        </w:trPr>
        <w:tc>
          <w:tcPr>
            <w:vMerge w:val="restart"/>
            <w:shd w:fill="ffe599"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20028686523438"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Units of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87109375" w:line="248.78966331481934" w:lineRule="auto"/>
              <w:ind w:left="0" w:right="52.806701660156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sz w:val="21.600000381469727"/>
                <w:szCs w:val="21.600000381469727"/>
                <w:shd w:fill="ffe599" w:val="clear"/>
                <w:rtl w:val="0"/>
              </w:rPr>
              <w:t xml:space="preserve">H</w:t>
            </w:r>
            <w:r w:rsidDel="00000000" w:rsidR="00000000" w:rsidRPr="00000000">
              <w:rPr>
                <w:rFonts w:ascii="Calibri" w:cs="Calibri" w:eastAsia="Calibri" w:hAnsi="Calibri"/>
                <w:b w:val="0"/>
                <w:i w:val="0"/>
                <w:smallCaps w:val="0"/>
                <w:strike w:val="0"/>
                <w:color w:val="000000"/>
                <w:sz w:val="21.600000381469727"/>
                <w:szCs w:val="21.600000381469727"/>
                <w:u w:val="none"/>
                <w:shd w:fill="ffe599" w:val="clear"/>
                <w:vertAlign w:val="baseline"/>
                <w:rtl w:val="0"/>
              </w:rPr>
              <w:t xml:space="preserve">ealthcare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activity</w:t>
            </w:r>
          </w:p>
        </w:tc>
        <w:tc>
          <w:tcPr>
            <w:shd w:fill="ffe599"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29125976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Inpatient bed-day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0.399169921875" w:hRule="atLeast"/>
          <w:tblHeader w:val="0"/>
        </w:trPr>
        <w:tc>
          <w:tcPr>
            <w:vMerge w:val="continue"/>
            <w:shd w:fill="ffe599"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ffe599"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444702148437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Outpatient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0.399169921875" w:hRule="atLeast"/>
          <w:tblHeader w:val="0"/>
        </w:trPr>
        <w:tc>
          <w:tcPr>
            <w:vMerge w:val="continue"/>
            <w:shd w:fill="ffe599"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ffe599"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8571166992187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GP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5.201416015625" w:hRule="atLeast"/>
          <w:tblHeader w:val="0"/>
        </w:trPr>
        <w:tc>
          <w:tcPr>
            <w:vMerge w:val="continue"/>
            <w:shd w:fill="ffe599"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ffe599"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86181640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Surgical or other 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0.399169921875" w:hRule="atLeast"/>
          <w:tblHeader w:val="0"/>
        </w:trPr>
        <w:tc>
          <w:tcPr>
            <w:vMerge w:val="continue"/>
            <w:shd w:fill="ffe599"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ffe599"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54370117187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Ventilator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0.399169921875" w:hRule="atLeast"/>
          <w:tblHeader w:val="0"/>
        </w:trPr>
        <w:tc>
          <w:tcPr>
            <w:vMerge w:val="restart"/>
            <w:shd w:fill="b6d7a8"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19317626953125" w:firstLine="0"/>
              <w:jc w:val="righ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Social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8515625" w:line="240" w:lineRule="auto"/>
              <w:ind w:left="0" w:right="0" w:firstLine="0"/>
              <w:jc w:val="center"/>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resources</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29125976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Patient time and expertise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859.20166015625" w:hRule="atLeast"/>
          <w:tblHeader w:val="0"/>
        </w:trPr>
        <w:tc>
          <w:tcPr>
            <w:vMerge w:val="continue"/>
            <w:shd w:fill="b6d7a8"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b6d7a8"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042163848877" w:lineRule="auto"/>
              <w:ind w:left="157.9901123046875" w:right="365.7037353515625" w:firstLine="3.739013671875"/>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Patient social support networks </w:t>
            </w:r>
            <w:r w:rsidDel="00000000" w:rsidR="00000000" w:rsidRPr="00000000">
              <w:rPr>
                <w:rFonts w:ascii="Calibri" w:cs="Calibri" w:eastAsia="Calibri" w:hAnsi="Calibri"/>
                <w:b w:val="0"/>
                <w:i w:val="0"/>
                <w:smallCaps w:val="0"/>
                <w:strike w:val="0"/>
                <w:color w:val="000000"/>
                <w:sz w:val="19.68000030517578"/>
                <w:szCs w:val="19.68000030517578"/>
                <w:u w:val="none"/>
                <w:shd w:fill="b6d7a8" w:val="clear"/>
                <w:vertAlign w:val="baseline"/>
                <w:rtl w:val="0"/>
              </w:rPr>
              <w:t xml:space="preserve"> (family, friends, community</w:t>
            </w:r>
            <w:r w:rsidDel="00000000" w:rsidR="00000000" w:rsidRPr="00000000">
              <w:rPr>
                <w:rFonts w:ascii="Calibri" w:cs="Calibri" w:eastAsia="Calibri" w:hAnsi="Calibri"/>
                <w:b w:val="0"/>
                <w:i w:val="0"/>
                <w:smallCaps w:val="0"/>
                <w:strike w:val="0"/>
                <w:color w:val="000000"/>
                <w:sz w:val="19.68000030517578"/>
                <w:szCs w:val="19.68000030517578"/>
                <w:u w:val="none"/>
                <w:shd w:fill="ffe599" w:val="clear"/>
                <w:vertAlign w:val="baseline"/>
                <w:rtl w:val="0"/>
              </w:rPr>
              <w:t xml:space="preserve"> </w:t>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416015625" w:line="240" w:lineRule="auto"/>
              <w:ind w:left="153.8571166992187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organisations, charities)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5.1995849609375" w:hRule="atLeast"/>
          <w:tblHeader w:val="0"/>
        </w:trPr>
        <w:tc>
          <w:tcPr>
            <w:vMerge w:val="continue"/>
            <w:shd w:fill="b6d7a8"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b6d7a8"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86181640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Staff time and expertise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0.399169921875" w:hRule="atLeast"/>
          <w:tblHeader w:val="0"/>
        </w:trPr>
        <w:tc>
          <w:tcPr>
            <w:vMerge w:val="continue"/>
            <w:shd w:fill="b6d7a8"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b6d7a8"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86181640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Staff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r>
        <w:trPr>
          <w:cantSplit w:val="0"/>
          <w:trHeight w:val="710.400390625" w:hRule="atLeast"/>
          <w:tblHeader w:val="0"/>
        </w:trPr>
        <w:tc>
          <w:tcPr>
            <w:vMerge w:val="continue"/>
            <w:shd w:fill="b6d7a8"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b6d7a8"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Local government support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21044921875" w:right="0" w:firstLine="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21044921875" w:right="0" w:firstLine="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21044921875" w:right="0" w:firstLine="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21044921875" w:right="0" w:firstLine="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21044921875" w:right="0" w:firstLine="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21044921875" w:right="0" w:firstLine="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21044921875" w:right="0" w:firstLine="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21044921875" w:right="0" w:firstLine="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21044921875" w:right="0" w:firstLine="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color w:val="70ad47"/>
          <w:sz w:val="27.84000015258789"/>
          <w:szCs w:val="27.84000015258789"/>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70ad47"/>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70ad47"/>
          <w:sz w:val="27.84000015258789"/>
          <w:szCs w:val="27.84000015258789"/>
          <w:u w:val="none"/>
          <w:shd w:fill="auto" w:val="clear"/>
          <w:vertAlign w:val="baseline"/>
          <w:rtl w:val="0"/>
        </w:rPr>
        <w:t xml:space="preserve">Non-carbon environmental impacts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06982421875" w:line="248.78966331481934" w:lineRule="auto"/>
        <w:ind w:left="1447.1015930175781" w:right="197.247314453125" w:hanging="7.991943359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The resources listed in Table 1 (apart from social resources) can all be translated into financial and  carbon costs or impacts. However, it is important to remember that carbon impact is just one  category of environmental impact. Common sources of non-carbon environmental impacts in  healthcare include: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177734375" w:line="271.00324630737305" w:lineRule="auto"/>
        <w:ind w:left="2171.63818359375" w:right="526.85791015625" w:hanging="355.68054199218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Air pollution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from burning fossil fuels in transport or power generation, or from waste  incineration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68.7812042236328" w:lineRule="auto"/>
        <w:ind w:left="2167.10205078125" w:right="17.796630859375" w:hanging="351.14440917968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Deforestation, landscape degradation, loss of biodiversity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from building and  management of healthcare facilities, as well as building, mining and cultivation in the supply  chain (including rubber plantations for glove manufacture)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5048828125" w:line="240" w:lineRule="auto"/>
        <w:ind w:left="1815.95764160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Depletion of scarce natural resources</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including fresh water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2764892578125" w:line="271.00284576416016" w:lineRule="auto"/>
        <w:ind w:left="2173.798065185547" w:right="74.53125" w:hanging="357.8404235839844"/>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Bio-accumulation and toxicity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of chemicals entering the environment, often through water  pollution (antibiotics, antidepressants, contraceptives, propofol)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814.3257141113281"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Plastic pollution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from inadequate waste disposal systems / littering</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4084777832031" w:line="232.33941078186035" w:lineRule="auto"/>
        <w:ind w:left="1450.3848266601562" w:right="530.089111328125" w:hanging="7.104034423828125"/>
        <w:jc w:val="left"/>
        <w:rPr>
          <w:rFonts w:ascii="Cambria" w:cs="Cambria" w:eastAsia="Cambria" w:hAnsi="Cambria"/>
          <w:b w:val="0"/>
          <w:i w:val="0"/>
          <w:smallCaps w:val="0"/>
          <w:strike w:val="0"/>
          <w:color w:val="a6a6a6"/>
          <w:sz w:val="17.760000228881836"/>
          <w:szCs w:val="17.76000022888183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8966331481934" w:lineRule="auto"/>
        <w:ind w:left="1453.797607421875" w:right="402.12158203125" w:hanging="12.95989990234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You can use Table 2 to review whether the system you are studying is responsible for significant  non-carbon environmental impacts and how these might be minimised.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439.517669677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Table 2. Non-carbon environmental impacts </w:t>
      </w:r>
    </w:p>
    <w:tbl>
      <w:tblPr>
        <w:tblStyle w:val="Table3"/>
        <w:tblW w:w="9014.3994140625" w:type="dxa"/>
        <w:jc w:val="left"/>
        <w:tblInd w:w="142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6.0000610351562"/>
        <w:gridCol w:w="3115.1998901367188"/>
        <w:gridCol w:w="2923.199462890625"/>
        <w:tblGridChange w:id="0">
          <w:tblGrid>
            <w:gridCol w:w="2976.0000610351562"/>
            <w:gridCol w:w="3115.1998901367188"/>
            <w:gridCol w:w="2923.199462890625"/>
          </w:tblGrid>
        </w:tblGridChange>
      </w:tblGrid>
      <w:tr>
        <w:trPr>
          <w:cantSplit w:val="0"/>
          <w:trHeight w:val="715.198974609375"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16342163086" w:lineRule="auto"/>
              <w:ind w:left="222.52410888671875" w:right="150.604248046875" w:firstLine="0"/>
              <w:jc w:val="center"/>
              <w:rPr>
                <w:rFonts w:ascii="Calibri" w:cs="Calibri" w:eastAsia="Calibri" w:hAnsi="Calibri"/>
                <w:b w:val="0"/>
                <w:i w:val="0"/>
                <w:smallCaps w:val="0"/>
                <w:strike w:val="0"/>
                <w:color w:val="000000"/>
                <w:sz w:val="24"/>
                <w:szCs w:val="24"/>
                <w:u w:val="none"/>
                <w:shd w:fill="b6d7a8" w:val="clear"/>
                <w:vertAlign w:val="baseline"/>
              </w:rPr>
            </w:pPr>
            <w:r w:rsidDel="00000000" w:rsidR="00000000" w:rsidRPr="00000000">
              <w:rPr>
                <w:rFonts w:ascii="Calibri" w:cs="Calibri" w:eastAsia="Calibri" w:hAnsi="Calibri"/>
                <w:b w:val="0"/>
                <w:i w:val="0"/>
                <w:smallCaps w:val="0"/>
                <w:strike w:val="0"/>
                <w:color w:val="000000"/>
                <w:sz w:val="24"/>
                <w:szCs w:val="24"/>
                <w:u w:val="none"/>
                <w:shd w:fill="b6d7a8" w:val="clear"/>
                <w:vertAlign w:val="baseline"/>
                <w:rtl w:val="0"/>
              </w:rPr>
              <w:t xml:space="preserve">Which steps in your process  could lead to this impact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16342163086" w:lineRule="auto"/>
              <w:ind w:left="178.629150390625" w:right="101.7620849609375" w:firstLine="0"/>
              <w:jc w:val="center"/>
              <w:rPr>
                <w:rFonts w:ascii="Calibri" w:cs="Calibri" w:eastAsia="Calibri" w:hAnsi="Calibri"/>
                <w:b w:val="0"/>
                <w:i w:val="0"/>
                <w:smallCaps w:val="0"/>
                <w:strike w:val="0"/>
                <w:color w:val="000000"/>
                <w:sz w:val="24"/>
                <w:szCs w:val="24"/>
                <w:u w:val="none"/>
                <w:shd w:fill="b6d7a8" w:val="clear"/>
                <w:vertAlign w:val="baseline"/>
              </w:rPr>
            </w:pPr>
            <w:r w:rsidDel="00000000" w:rsidR="00000000" w:rsidRPr="00000000">
              <w:rPr>
                <w:rFonts w:ascii="Calibri" w:cs="Calibri" w:eastAsia="Calibri" w:hAnsi="Calibri"/>
                <w:b w:val="0"/>
                <w:i w:val="0"/>
                <w:smallCaps w:val="0"/>
                <w:strike w:val="0"/>
                <w:color w:val="000000"/>
                <w:sz w:val="24"/>
                <w:szCs w:val="24"/>
                <w:u w:val="none"/>
                <w:shd w:fill="b6d7a8" w:val="clear"/>
                <w:vertAlign w:val="baseline"/>
                <w:rtl w:val="0"/>
              </w:rPr>
              <w:t xml:space="preserve">Could any of these impacts  be avoided or reduced?</w:t>
            </w:r>
          </w:p>
        </w:tc>
      </w:tr>
      <w:tr>
        <w:trPr>
          <w:cantSplit w:val="0"/>
          <w:trHeight w:val="64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51782226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Air pollution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1.600000381469727"/>
                <w:szCs w:val="21.600000381469727"/>
              </w:rPr>
            </w:pPr>
            <w:r w:rsidDel="00000000" w:rsidR="00000000" w:rsidRPr="00000000">
              <w:rPr>
                <w:rtl w:val="0"/>
              </w:rPr>
            </w:r>
          </w:p>
        </w:tc>
      </w:tr>
      <w:tr>
        <w:trPr>
          <w:cantSplit w:val="0"/>
          <w:trHeight w:val="9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8854751586914" w:lineRule="auto"/>
              <w:ind w:left="156.42974853515625" w:right="574.5095825195312" w:firstLine="8.639984130859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Deforestation, landscape  degradation, loss of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162.90969848632812"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biodiversity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Depletion of scarce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9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8854751586914" w:lineRule="auto"/>
              <w:ind w:left="155.78170776367188" w:right="167.56195068359375" w:firstLine="9.28802490234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Bio-accumulation and toxicity  of chemicals entering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156.213684082031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6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06973266601562"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Plastic pollution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4084777832031" w:line="232.33941078186035" w:lineRule="auto"/>
        <w:ind w:left="0" w:right="530.089111328125" w:firstLine="0"/>
        <w:jc w:val="left"/>
        <w:rPr>
          <w:rFonts w:ascii="Cambria" w:cs="Cambria" w:eastAsia="Cambria" w:hAnsi="Cambria"/>
          <w:b w:val="0"/>
          <w:i w:val="0"/>
          <w:smallCaps w:val="0"/>
          <w:strike w:val="0"/>
          <w:color w:val="a6a6a6"/>
          <w:sz w:val="17.760000228881836"/>
          <w:szCs w:val="17.760000228881836"/>
          <w:u w:val="none"/>
          <w:shd w:fill="auto" w:val="clear"/>
          <w:vertAlign w:val="baseline"/>
        </w:rPr>
      </w:pPr>
      <w:r w:rsidDel="00000000" w:rsidR="00000000" w:rsidRPr="00000000">
        <w:rPr>
          <w:rtl w:val="0"/>
        </w:rPr>
      </w:r>
    </w:p>
    <w:sectPr>
      <w:footerReference r:id="rId8" w:type="default"/>
      <w:pgSz w:h="16820" w:w="11900" w:orient="portrait"/>
      <w:pgMar w:bottom="0" w:top="544.801025390625" w:left="0" w:right="1450.418701171875"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widowControl w:val="0"/>
      <w:spacing w:line="394.963960647583" w:lineRule="auto"/>
      <w:ind w:left="10346.942138671875" w:right="4.06005859375" w:hanging="8903.046875"/>
      <w:rPr>
        <w:rFonts w:ascii="Calibri" w:cs="Calibri" w:eastAsia="Calibri" w:hAnsi="Calibri"/>
        <w:sz w:val="24"/>
        <w:szCs w:val="24"/>
      </w:rPr>
    </w:pPr>
    <w:r w:rsidDel="00000000" w:rsidR="00000000" w:rsidRPr="00000000">
      <w:rPr>
        <w:rFonts w:ascii="Cambria" w:cs="Cambria" w:eastAsia="Cambria" w:hAnsi="Cambria"/>
        <w:b w:val="1"/>
        <w:color w:val="7f7f7f"/>
        <w:sz w:val="19.68000030517578"/>
        <w:szCs w:val="19.68000030517578"/>
        <w:rtl w:val="0"/>
      </w:rPr>
      <w:t xml:space="preserve">The Centre for Sustainable Healthcare </w:t>
    </w:r>
    <w:r w:rsidDel="00000000" w:rsidR="00000000" w:rsidRPr="00000000">
      <w:rPr>
        <w:rFonts w:ascii="Cambria" w:cs="Cambria" w:eastAsia="Cambria" w:hAnsi="Cambria"/>
        <w:color w:val="a6a6a6"/>
        <w:sz w:val="17.760000228881836"/>
        <w:szCs w:val="17.760000228881836"/>
        <w:rtl w:val="0"/>
      </w:rPr>
      <w:t xml:space="preserve">Cranbrook House 287-291 Banbury Road Oxford OX2 7JQ </w:t>
    </w:r>
    <w:r w:rsidDel="00000000" w:rsidR="00000000" w:rsidRPr="00000000">
      <w:rPr>
        <w:rFonts w:ascii="Calibri" w:cs="Calibri" w:eastAsia="Calibri" w:hAnsi="Calibri"/>
        <w:sz w:val="24"/>
        <w:szCs w:val="24"/>
        <w:rtl w:val="0"/>
      </w:rPr>
      <w:t xml:space="preserve">1 </w:t>
    </w:r>
  </w:p>
  <w:p w:rsidR="00000000" w:rsidDel="00000000" w:rsidP="00000000" w:rsidRDefault="00000000" w:rsidRPr="00000000" w14:paraId="000000B7">
    <w:pPr>
      <w:widowControl w:val="0"/>
      <w:spacing w:line="240" w:lineRule="auto"/>
      <w:ind w:right="1260.970458984375"/>
      <w:jc w:val="right"/>
      <w:rPr>
        <w:rFonts w:ascii="Cambria" w:cs="Cambria" w:eastAsia="Cambria" w:hAnsi="Cambria"/>
        <w:color w:val="7f7f7f"/>
        <w:sz w:val="17.760000228881836"/>
        <w:szCs w:val="17.760000228881836"/>
      </w:rPr>
    </w:pPr>
    <w:r w:rsidDel="00000000" w:rsidR="00000000" w:rsidRPr="00000000">
      <w:rPr>
        <w:rFonts w:ascii="Cambria" w:cs="Cambria" w:eastAsia="Cambria" w:hAnsi="Cambria"/>
        <w:b w:val="1"/>
        <w:color w:val="7f7f7f"/>
        <w:sz w:val="17.760000228881836"/>
        <w:szCs w:val="17.760000228881836"/>
        <w:rtl w:val="0"/>
      </w:rPr>
      <w:t xml:space="preserve">t </w:t>
    </w:r>
    <w:r w:rsidDel="00000000" w:rsidR="00000000" w:rsidRPr="00000000">
      <w:rPr>
        <w:rFonts w:ascii="Cambria" w:cs="Cambria" w:eastAsia="Cambria" w:hAnsi="Cambria"/>
        <w:color w:val="a6a6a6"/>
        <w:sz w:val="17.760000228881836"/>
        <w:szCs w:val="17.760000228881836"/>
        <w:rtl w:val="0"/>
      </w:rPr>
      <w:t xml:space="preserve">+44 (0) 1865 515811 </w:t>
    </w:r>
    <w:r w:rsidDel="00000000" w:rsidR="00000000" w:rsidRPr="00000000">
      <w:rPr>
        <w:rFonts w:ascii="Cambria" w:cs="Cambria" w:eastAsia="Cambria" w:hAnsi="Cambria"/>
        <w:b w:val="1"/>
        <w:color w:val="7f7f7f"/>
        <w:sz w:val="17.760000228881836"/>
        <w:szCs w:val="17.760000228881836"/>
        <w:rtl w:val="0"/>
      </w:rPr>
      <w:t xml:space="preserve">email: </w:t>
    </w:r>
    <w:r w:rsidDel="00000000" w:rsidR="00000000" w:rsidRPr="00000000">
      <w:rPr>
        <w:rFonts w:ascii="Cambria" w:cs="Cambria" w:eastAsia="Cambria" w:hAnsi="Cambria"/>
        <w:color w:val="7f7f7f"/>
        <w:sz w:val="17.760000228881836"/>
        <w:szCs w:val="17.760000228881836"/>
        <w:rtl w:val="0"/>
      </w:rPr>
      <w:t xml:space="preserve">info@sustainablehealthcare.org.uk </w:t>
    </w:r>
    <w:r w:rsidDel="00000000" w:rsidR="00000000" w:rsidRPr="00000000">
      <w:rPr>
        <w:rFonts w:ascii="Cambria" w:cs="Cambria" w:eastAsia="Cambria" w:hAnsi="Cambria"/>
        <w:b w:val="1"/>
        <w:color w:val="7f7f7f"/>
        <w:sz w:val="17.760000228881836"/>
        <w:szCs w:val="17.760000228881836"/>
        <w:rtl w:val="0"/>
      </w:rPr>
      <w:t xml:space="preserve">www</w:t>
    </w:r>
    <w:r w:rsidDel="00000000" w:rsidR="00000000" w:rsidRPr="00000000">
      <w:rPr>
        <w:rFonts w:ascii="Cambria" w:cs="Cambria" w:eastAsia="Cambria" w:hAnsi="Cambria"/>
        <w:color w:val="7f7f7f"/>
        <w:sz w:val="17.760000228881836"/>
        <w:szCs w:val="17.760000228881836"/>
        <w:rtl w:val="0"/>
      </w:rPr>
      <w:t xml:space="preserve">.sustainablehealthcare.org.uk </w:t>
    </w:r>
  </w:p>
  <w:p w:rsidR="00000000" w:rsidDel="00000000" w:rsidP="00000000" w:rsidRDefault="00000000" w:rsidRPr="00000000" w14:paraId="000000B8">
    <w:pPr>
      <w:widowControl w:val="0"/>
      <w:spacing w:before="85.540771484375" w:line="232.33968257904053" w:lineRule="auto"/>
      <w:ind w:left="1450.3848266601562" w:right="529.64111328125" w:hanging="7.104034423828125"/>
      <w:rPr/>
    </w:pPr>
    <w:r w:rsidDel="00000000" w:rsidR="00000000" w:rsidRPr="00000000">
      <w:rPr>
        <w:rFonts w:ascii="Cambria" w:cs="Cambria" w:eastAsia="Cambria" w:hAnsi="Cambria"/>
        <w:color w:val="a6a6a6"/>
        <w:sz w:val="17.760000228881836"/>
        <w:szCs w:val="17.760000228881836"/>
        <w:rtl w:val="0"/>
      </w:rPr>
      <w:t xml:space="preserve">The Centre for Sustainable Healthcare is registered as a company limited by guarantee in England &amp; Wales No.  7450026 and as a charity No 1143189. Registered address 8 King Edward Street, Oxford OX1 4HL.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5">
      <w:pPr>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